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81E" w:rsidRPr="00A4282B" w:rsidRDefault="008314A7">
      <w:pPr>
        <w:spacing w:after="120" w:line="240" w:lineRule="auto"/>
        <w:ind w:left="0" w:firstLine="0"/>
        <w:jc w:val="center"/>
        <w:textAlignment w:val="auto"/>
        <w:outlineLvl w:val="1"/>
        <w:rPr>
          <w:b/>
          <w:bCs/>
          <w:color w:val="000000" w:themeColor="text1"/>
          <w:u w:val="single"/>
          <w:lang w:eastAsia="ar-SA"/>
        </w:rPr>
      </w:pPr>
      <w:r w:rsidRPr="00A4282B">
        <w:rPr>
          <w:b/>
          <w:bCs/>
          <w:color w:val="000000" w:themeColor="text1"/>
          <w:u w:val="single"/>
          <w:lang w:eastAsia="ar-SA"/>
        </w:rPr>
        <w:t>ANÁLISE CRÍTICA DOS ORÇAMENTOS COLETADOS</w:t>
      </w:r>
    </w:p>
    <w:p w:rsidR="00B6181E" w:rsidRPr="00A4282B" w:rsidRDefault="00B6181E">
      <w:pPr>
        <w:spacing w:after="120" w:line="240" w:lineRule="auto"/>
        <w:ind w:left="0" w:firstLine="0"/>
        <w:jc w:val="center"/>
        <w:textAlignment w:val="auto"/>
        <w:outlineLvl w:val="1"/>
        <w:rPr>
          <w:b/>
          <w:color w:val="000000" w:themeColor="text1"/>
          <w:u w:val="single"/>
          <w:lang w:eastAsia="ar-SA"/>
        </w:rPr>
      </w:pPr>
    </w:p>
    <w:p w:rsidR="00B6181E" w:rsidRPr="00A4282B" w:rsidRDefault="008314A7">
      <w:pPr>
        <w:suppressAutoHyphens w:val="0"/>
        <w:spacing w:after="200" w:line="276" w:lineRule="auto"/>
        <w:ind w:left="0" w:firstLine="0"/>
        <w:jc w:val="both"/>
        <w:textAlignment w:val="auto"/>
        <w:outlineLvl w:val="9"/>
        <w:rPr>
          <w:rFonts w:eastAsia="Calibri"/>
          <w:color w:val="000000" w:themeColor="text1"/>
          <w:lang w:eastAsia="en-US"/>
        </w:rPr>
      </w:pPr>
      <w:r w:rsidRPr="00A4282B">
        <w:rPr>
          <w:rFonts w:eastAsia="Calibri"/>
          <w:color w:val="000000" w:themeColor="text1"/>
          <w:lang w:eastAsia="en-US"/>
        </w:rPr>
        <w:t>Com base no Decreto Municipal de nº 3.537/2023 onde no seu Art.368 trata dos Orçamentos Estimativos para Contratação de Bens e Serviços, temos as seguintes considerações:</w:t>
      </w:r>
    </w:p>
    <w:p w:rsidR="00B6181E" w:rsidRPr="00A4282B" w:rsidRDefault="008314A7" w:rsidP="009F4EAF">
      <w:pPr>
        <w:spacing w:line="240" w:lineRule="auto"/>
        <w:ind w:left="0" w:firstLine="0"/>
        <w:jc w:val="both"/>
        <w:textAlignment w:val="auto"/>
        <w:outlineLvl w:val="9"/>
        <w:rPr>
          <w:rFonts w:eastAsia="Calibri"/>
          <w:b/>
          <w:i/>
          <w:iCs/>
          <w:color w:val="000000" w:themeColor="text1"/>
          <w:lang w:eastAsia="en-US"/>
        </w:rPr>
      </w:pPr>
      <w:r w:rsidRPr="00A4282B">
        <w:rPr>
          <w:rFonts w:eastAsia="Calibri"/>
          <w:b/>
          <w:i/>
          <w:iCs/>
          <w:color w:val="000000" w:themeColor="text1"/>
          <w:lang w:eastAsia="en-US"/>
        </w:rPr>
        <w:t xml:space="preserve">I - </w:t>
      </w:r>
      <w:bookmarkStart w:id="0" w:name="_Hlk172010450"/>
      <w:r w:rsidRPr="00A4282B">
        <w:rPr>
          <w:rFonts w:eastAsia="Calibri"/>
          <w:b/>
          <w:i/>
          <w:iCs/>
          <w:color w:val="000000" w:themeColor="text1"/>
          <w:lang w:eastAsia="en-US"/>
        </w:rPr>
        <w:t>a composição de custos unitários menores ou iguais à mediana do item correspondente no painel para consulta de preços, nos bancos de preços e/ou no Portal Nacional de Contratações Públicas (PNCP)</w:t>
      </w:r>
      <w:bookmarkEnd w:id="0"/>
      <w:r w:rsidRPr="00A4282B">
        <w:rPr>
          <w:rFonts w:eastAsia="Calibri"/>
          <w:b/>
          <w:i/>
          <w:iCs/>
          <w:color w:val="000000" w:themeColor="text1"/>
          <w:lang w:eastAsia="en-US"/>
        </w:rPr>
        <w:t>:</w:t>
      </w:r>
    </w:p>
    <w:p w:rsidR="00B6181E" w:rsidRPr="00A4282B" w:rsidRDefault="008314A7" w:rsidP="009F4EAF">
      <w:pPr>
        <w:spacing w:line="240" w:lineRule="auto"/>
        <w:ind w:left="0" w:firstLine="0"/>
        <w:jc w:val="both"/>
        <w:textAlignment w:val="auto"/>
        <w:outlineLvl w:val="9"/>
        <w:rPr>
          <w:rFonts w:eastAsia="Calibri"/>
          <w:b/>
          <w:i/>
          <w:iCs/>
          <w:color w:val="000000" w:themeColor="text1"/>
          <w:lang w:eastAsia="en-US"/>
        </w:rPr>
      </w:pPr>
      <w:r w:rsidRPr="00A4282B">
        <w:rPr>
          <w:b/>
          <w:color w:val="000000" w:themeColor="text1"/>
        </w:rPr>
        <w:t xml:space="preserve">Realizamos pesquisas nos sites </w:t>
      </w:r>
      <w:hyperlink r:id="rId10" w:tgtFrame="_new">
        <w:r w:rsidRPr="00A4282B">
          <w:rPr>
            <w:b/>
            <w:color w:val="000000" w:themeColor="text1"/>
            <w:u w:val="single"/>
          </w:rPr>
          <w:t>https://paineldeprecos.planejamento.gov.br/</w:t>
        </w:r>
      </w:hyperlink>
      <w:r w:rsidRPr="00A4282B">
        <w:rPr>
          <w:b/>
          <w:color w:val="000000" w:themeColor="text1"/>
        </w:rPr>
        <w:t xml:space="preserve"> e </w:t>
      </w:r>
      <w:hyperlink r:id="rId11">
        <w:r w:rsidRPr="00A4282B">
          <w:rPr>
            <w:rStyle w:val="Hyperlink"/>
            <w:b/>
            <w:color w:val="000000" w:themeColor="text1"/>
          </w:rPr>
          <w:t>https://www.gov.br/pncp/pt-br</w:t>
        </w:r>
      </w:hyperlink>
      <w:r w:rsidRPr="00A4282B">
        <w:rPr>
          <w:b/>
          <w:color w:val="000000" w:themeColor="text1"/>
        </w:rPr>
        <w:t>, conforme os documentos anexos, onde foram observadas as seguintes constatações:</w:t>
      </w:r>
    </w:p>
    <w:p w:rsidR="00031DFC" w:rsidRPr="00A4282B" w:rsidRDefault="008314A7" w:rsidP="00031DFC">
      <w:pPr>
        <w:spacing w:before="100" w:beforeAutospacing="1" w:after="100" w:afterAutospacing="1" w:line="240" w:lineRule="auto"/>
        <w:ind w:left="0" w:firstLine="0"/>
        <w:jc w:val="both"/>
        <w:textAlignment w:val="auto"/>
        <w:outlineLvl w:val="9"/>
        <w:rPr>
          <w:color w:val="000000" w:themeColor="text1"/>
        </w:rPr>
      </w:pPr>
      <w:r w:rsidRPr="00A4282B">
        <w:rPr>
          <w:color w:val="000000" w:themeColor="text1"/>
        </w:rPr>
        <w:t xml:space="preserve">a) </w:t>
      </w:r>
      <w:r w:rsidRPr="00A4282B">
        <w:rPr>
          <w:b/>
          <w:bCs/>
          <w:color w:val="000000" w:themeColor="text1"/>
        </w:rPr>
        <w:t>Painel de Preços</w:t>
      </w:r>
      <w:r w:rsidRPr="00A4282B">
        <w:rPr>
          <w:color w:val="000000" w:themeColor="text1"/>
        </w:rPr>
        <w:t xml:space="preserve">: </w:t>
      </w:r>
      <w:r w:rsidR="00031DFC" w:rsidRPr="00A4282B">
        <w:rPr>
          <w:color w:val="000000" w:themeColor="text1"/>
        </w:rPr>
        <w:t xml:space="preserve">Durante a pesquisa de preços realizada no portal Painel de Preços, foram identificados registros de contratações envolvendo serviços de locação de software de gestão pública. Contudo, os valores disponíveis referem-se a montantes globais das contratações, sem discriminação dos módulos ou funcionalidades individualmente, o que inviabiliza a utilização desses dados como parâmetro direto para a presente análise. Ressalte-se que o objeto envolve a contratação de um sistema completo com módulos específicos de gestão pública, distintos daqueles que compõem </w:t>
      </w:r>
      <w:r w:rsidR="008E08B6" w:rsidRPr="00A4282B">
        <w:rPr>
          <w:color w:val="000000" w:themeColor="text1"/>
        </w:rPr>
        <w:t>a pesquisa</w:t>
      </w:r>
      <w:r w:rsidR="00031DFC" w:rsidRPr="00A4282B">
        <w:rPr>
          <w:color w:val="000000" w:themeColor="text1"/>
        </w:rPr>
        <w:t xml:space="preserve"> no Painel, conforme alguns exemplos em anexo, </w:t>
      </w:r>
      <w:r w:rsidR="008E08B6" w:rsidRPr="00A4282B">
        <w:rPr>
          <w:color w:val="000000" w:themeColor="text1"/>
        </w:rPr>
        <w:t xml:space="preserve">gerado no </w:t>
      </w:r>
      <w:r w:rsidR="00031DFC" w:rsidRPr="00A4282B">
        <w:rPr>
          <w:color w:val="000000" w:themeColor="text1"/>
        </w:rPr>
        <w:t xml:space="preserve">relatório detalhado </w:t>
      </w:r>
      <w:r w:rsidR="008E08B6" w:rsidRPr="00A4282B">
        <w:rPr>
          <w:color w:val="000000" w:themeColor="text1"/>
        </w:rPr>
        <w:t>do referido</w:t>
      </w:r>
      <w:r w:rsidR="00031DFC" w:rsidRPr="00A4282B">
        <w:rPr>
          <w:color w:val="000000" w:themeColor="text1"/>
        </w:rPr>
        <w:t xml:space="preserve"> site. Em razão dessa incompatibilidade metodológica, </w:t>
      </w:r>
      <w:r w:rsidR="00031DFC" w:rsidRPr="00A4282B">
        <w:rPr>
          <w:b/>
          <w:color w:val="000000" w:themeColor="text1"/>
        </w:rPr>
        <w:t>os valores ali apresentados não serão considerados para a formação da média de preços</w:t>
      </w:r>
      <w:r w:rsidR="00031DFC" w:rsidRPr="00A4282B">
        <w:rPr>
          <w:color w:val="000000" w:themeColor="text1"/>
        </w:rPr>
        <w:t>. Para assegurar maior precisão e aderência ao objeto licitado, foram realizadas pesquisas complementares junto a outras fontes idôneas, cujos resultados seguem anexos ao presente processo</w:t>
      </w:r>
      <w:r w:rsidR="008E08B6" w:rsidRPr="00A4282B">
        <w:rPr>
          <w:color w:val="000000" w:themeColor="text1"/>
        </w:rPr>
        <w:t>.</w:t>
      </w:r>
    </w:p>
    <w:p w:rsidR="00255060" w:rsidRPr="00A4282B" w:rsidRDefault="008314A7" w:rsidP="00031DFC">
      <w:pPr>
        <w:spacing w:before="100" w:beforeAutospacing="1" w:after="100" w:afterAutospacing="1" w:line="240" w:lineRule="auto"/>
        <w:ind w:left="0" w:firstLine="0"/>
        <w:jc w:val="both"/>
        <w:textAlignment w:val="auto"/>
        <w:outlineLvl w:val="9"/>
        <w:rPr>
          <w:color w:val="000000" w:themeColor="text1"/>
        </w:rPr>
      </w:pPr>
      <w:r w:rsidRPr="00A4282B">
        <w:rPr>
          <w:color w:val="000000" w:themeColor="text1"/>
        </w:rPr>
        <w:t xml:space="preserve">b) </w:t>
      </w:r>
      <w:r w:rsidRPr="00A4282B">
        <w:rPr>
          <w:b/>
          <w:bCs/>
          <w:color w:val="000000" w:themeColor="text1"/>
        </w:rPr>
        <w:t>Portal Nacional de Contratações Públicas (PNCP)</w:t>
      </w:r>
      <w:r w:rsidR="00255060" w:rsidRPr="00A4282B">
        <w:rPr>
          <w:color w:val="000000" w:themeColor="text1"/>
        </w:rPr>
        <w:t>: Diferente do Painel de Preços, através do PNCP, foi possível realizar uma pesquisa de preços focada no objeto da contratação, permitindo a utilização de alguns valores de módulos como referência. Ressalto que cada município possui particularidades e demandas específicas em suas contratações. Destaco que o objetivo da contratação é atender o Executivo Municipal,</w:t>
      </w:r>
      <w:r w:rsidR="001F4284" w:rsidRPr="00A4282B">
        <w:rPr>
          <w:color w:val="000000" w:themeColor="text1"/>
        </w:rPr>
        <w:t xml:space="preserve"> Legislativo Municipal e</w:t>
      </w:r>
      <w:r w:rsidR="00255060" w:rsidRPr="00A4282B">
        <w:rPr>
          <w:color w:val="000000" w:themeColor="text1"/>
        </w:rPr>
        <w:t xml:space="preserve"> </w:t>
      </w:r>
      <w:r w:rsidR="001F4284" w:rsidRPr="00A4282B">
        <w:rPr>
          <w:color w:val="000000" w:themeColor="text1"/>
        </w:rPr>
        <w:t>SAAE</w:t>
      </w:r>
      <w:r w:rsidR="00255060" w:rsidRPr="00A4282B">
        <w:rPr>
          <w:color w:val="000000" w:themeColor="text1"/>
        </w:rPr>
        <w:t>, trazendo portanto os seguintes resultados:</w:t>
      </w:r>
    </w:p>
    <w:p w:rsidR="001F4284" w:rsidRPr="00A4282B" w:rsidRDefault="00255060" w:rsidP="00E92527">
      <w:pPr>
        <w:pStyle w:val="Cabealho"/>
        <w:jc w:val="both"/>
        <w:rPr>
          <w:color w:val="000000" w:themeColor="text1"/>
        </w:rPr>
      </w:pPr>
      <w:r w:rsidRPr="00A4282B">
        <w:rPr>
          <w:color w:val="000000" w:themeColor="text1"/>
        </w:rPr>
        <w:tab/>
      </w:r>
      <w:r w:rsidRPr="00A4282B">
        <w:rPr>
          <w:b/>
          <w:color w:val="000000" w:themeColor="text1"/>
        </w:rPr>
        <w:t>Executivo Municipal</w:t>
      </w:r>
      <w:r w:rsidRPr="00A4282B">
        <w:rPr>
          <w:color w:val="000000" w:themeColor="text1"/>
        </w:rPr>
        <w:t xml:space="preserve">: </w:t>
      </w:r>
      <w:r w:rsidR="00421F89" w:rsidRPr="00A4282B">
        <w:rPr>
          <w:color w:val="000000" w:themeColor="text1"/>
        </w:rPr>
        <w:t>Dos 2</w:t>
      </w:r>
      <w:r w:rsidR="00B22986" w:rsidRPr="00A4282B">
        <w:rPr>
          <w:color w:val="000000" w:themeColor="text1"/>
        </w:rPr>
        <w:t>4</w:t>
      </w:r>
      <w:r w:rsidR="001F4284" w:rsidRPr="00A4282B">
        <w:rPr>
          <w:color w:val="000000" w:themeColor="text1"/>
        </w:rPr>
        <w:t xml:space="preserve"> (vinte e </w:t>
      </w:r>
      <w:r w:rsidR="00B22986" w:rsidRPr="00A4282B">
        <w:rPr>
          <w:color w:val="000000" w:themeColor="text1"/>
        </w:rPr>
        <w:t>quatro</w:t>
      </w:r>
      <w:r w:rsidR="001F4284" w:rsidRPr="00A4282B">
        <w:rPr>
          <w:color w:val="000000" w:themeColor="text1"/>
        </w:rPr>
        <w:t xml:space="preserve">) módulos que serão utilizados, foi possível conseguir valores praticados de mercado </w:t>
      </w:r>
      <w:r w:rsidR="00421F89" w:rsidRPr="00A4282B">
        <w:rPr>
          <w:color w:val="000000" w:themeColor="text1"/>
        </w:rPr>
        <w:t>de</w:t>
      </w:r>
      <w:r w:rsidR="001F4284" w:rsidRPr="00A4282B">
        <w:rPr>
          <w:color w:val="000000" w:themeColor="text1"/>
        </w:rPr>
        <w:t xml:space="preserve"> apenas 9 (nove).</w:t>
      </w:r>
    </w:p>
    <w:p w:rsidR="00421F89" w:rsidRPr="00A4282B" w:rsidRDefault="00421F89" w:rsidP="00E92527">
      <w:pPr>
        <w:pStyle w:val="Cabealho"/>
        <w:jc w:val="both"/>
        <w:rPr>
          <w:b/>
          <w:color w:val="000000" w:themeColor="text1"/>
        </w:rPr>
      </w:pPr>
      <w:r w:rsidRPr="00A4282B">
        <w:rPr>
          <w:b/>
          <w:color w:val="000000" w:themeColor="text1"/>
        </w:rPr>
        <w:t xml:space="preserve">Legislativo Municipal: </w:t>
      </w:r>
      <w:r w:rsidRPr="00A4282B">
        <w:rPr>
          <w:color w:val="000000" w:themeColor="text1"/>
        </w:rPr>
        <w:t xml:space="preserve">Dos 8 (oito) módulos que serão utilizados por este ente, foi possível conseguir valores praticados de mercado em apenas </w:t>
      </w:r>
      <w:r w:rsidR="00811CA4" w:rsidRPr="00A4282B">
        <w:rPr>
          <w:color w:val="000000" w:themeColor="text1"/>
        </w:rPr>
        <w:t>7</w:t>
      </w:r>
      <w:r w:rsidRPr="00A4282B">
        <w:rPr>
          <w:color w:val="000000" w:themeColor="text1"/>
        </w:rPr>
        <w:t xml:space="preserve"> (</w:t>
      </w:r>
      <w:r w:rsidR="00811CA4" w:rsidRPr="00A4282B">
        <w:rPr>
          <w:color w:val="000000" w:themeColor="text1"/>
        </w:rPr>
        <w:t>sete</w:t>
      </w:r>
      <w:r w:rsidRPr="00A4282B">
        <w:rPr>
          <w:color w:val="000000" w:themeColor="text1"/>
        </w:rPr>
        <w:t>).</w:t>
      </w:r>
    </w:p>
    <w:p w:rsidR="00811CA4" w:rsidRPr="00A4282B" w:rsidRDefault="00421F89" w:rsidP="00811CA4">
      <w:pPr>
        <w:pStyle w:val="Cabealho"/>
        <w:jc w:val="both"/>
        <w:rPr>
          <w:color w:val="000000" w:themeColor="text1"/>
        </w:rPr>
      </w:pPr>
      <w:r w:rsidRPr="00A4282B">
        <w:rPr>
          <w:b/>
          <w:color w:val="000000" w:themeColor="text1"/>
        </w:rPr>
        <w:t>SAAE:</w:t>
      </w:r>
      <w:r w:rsidR="00811CA4" w:rsidRPr="00A4282B">
        <w:rPr>
          <w:color w:val="000000" w:themeColor="text1"/>
        </w:rPr>
        <w:t xml:space="preserve"> Dos 9 (nove) módulos que serão utilizados, foi possível conseguir valores praticados de mercado em apenas 6 (seis).</w:t>
      </w:r>
    </w:p>
    <w:p w:rsidR="00811CA4" w:rsidRPr="00A4282B" w:rsidRDefault="00015D95" w:rsidP="000D6303">
      <w:pPr>
        <w:pStyle w:val="Cabealho"/>
        <w:jc w:val="both"/>
        <w:rPr>
          <w:color w:val="000000" w:themeColor="text1"/>
        </w:rPr>
      </w:pPr>
      <w:r w:rsidRPr="00A4282B">
        <w:rPr>
          <w:color w:val="000000" w:themeColor="text1"/>
        </w:rPr>
        <w:t xml:space="preserve">Verifica-se que, embora tenha sido possível identificar valores de mercado para alguns módulos, a totalidade dos componentes necessários para a contratação não foi totalmente contemplada. Isso evidencia a importância de considerar as particularidades e necessidades específicas de cada município na composição da média de preços, uma vez que essas demandas podem variar significativamente entre os entes. </w:t>
      </w:r>
    </w:p>
    <w:p w:rsidR="00255060" w:rsidRPr="00A4282B" w:rsidRDefault="00C93378" w:rsidP="00E92527">
      <w:pPr>
        <w:pStyle w:val="Cabealho"/>
        <w:jc w:val="both"/>
        <w:rPr>
          <w:color w:val="000000" w:themeColor="text1"/>
        </w:rPr>
      </w:pPr>
      <w:r w:rsidRPr="00A4282B">
        <w:rPr>
          <w:color w:val="000000" w:themeColor="text1"/>
        </w:rPr>
        <w:t>Os</w:t>
      </w:r>
      <w:r w:rsidR="000D6303" w:rsidRPr="00A4282B">
        <w:rPr>
          <w:color w:val="000000" w:themeColor="text1"/>
        </w:rPr>
        <w:t xml:space="preserve"> valores compatíveis foram utilizados para a cesta de orçamentos</w:t>
      </w:r>
      <w:r w:rsidRPr="00A4282B">
        <w:rPr>
          <w:color w:val="000000" w:themeColor="text1"/>
        </w:rPr>
        <w:t xml:space="preserve"> sendo considerados para compor a média de preços.</w:t>
      </w:r>
    </w:p>
    <w:p w:rsidR="00C93378" w:rsidRPr="00A4282B" w:rsidRDefault="00C93378" w:rsidP="00E92527">
      <w:pPr>
        <w:pStyle w:val="Cabealho"/>
        <w:jc w:val="both"/>
        <w:rPr>
          <w:color w:val="000000" w:themeColor="text1"/>
        </w:rPr>
      </w:pPr>
    </w:p>
    <w:p w:rsidR="00E92527" w:rsidRPr="00A4282B" w:rsidRDefault="008314A7" w:rsidP="009F4EAF">
      <w:pPr>
        <w:pStyle w:val="Cabealho"/>
        <w:ind w:left="0" w:firstLine="0"/>
        <w:jc w:val="both"/>
        <w:rPr>
          <w:rFonts w:eastAsia="Calibri"/>
          <w:b/>
          <w:color w:val="000000" w:themeColor="text1"/>
          <w:lang w:eastAsia="en-US"/>
        </w:rPr>
      </w:pPr>
      <w:r w:rsidRPr="00A4282B">
        <w:rPr>
          <w:rFonts w:eastAsia="Calibri"/>
          <w:b/>
          <w:color w:val="000000" w:themeColor="text1"/>
          <w:lang w:eastAsia="en-US"/>
        </w:rPr>
        <w:lastRenderedPageBreak/>
        <w:t>II - os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rsidR="000505C7" w:rsidRPr="00A4282B" w:rsidRDefault="00727C08" w:rsidP="009F4EAF">
      <w:pPr>
        <w:pStyle w:val="Cabealho"/>
        <w:ind w:left="0" w:firstLine="0"/>
        <w:jc w:val="both"/>
        <w:rPr>
          <w:color w:val="000000" w:themeColor="text1"/>
          <w:sz w:val="22"/>
        </w:rPr>
      </w:pPr>
      <w:r w:rsidRPr="00A4282B">
        <w:rPr>
          <w:color w:val="000000" w:themeColor="text1"/>
          <w:sz w:val="22"/>
        </w:rPr>
        <w:t xml:space="preserve">Realizamos </w:t>
      </w:r>
      <w:r w:rsidR="00A038E9" w:rsidRPr="00A4282B">
        <w:rPr>
          <w:color w:val="000000" w:themeColor="text1"/>
          <w:sz w:val="22"/>
        </w:rPr>
        <w:t>pesquisa</w:t>
      </w:r>
      <w:r w:rsidRPr="00A4282B">
        <w:rPr>
          <w:color w:val="000000" w:themeColor="text1"/>
          <w:sz w:val="22"/>
        </w:rPr>
        <w:t>s</w:t>
      </w:r>
      <w:r w:rsidR="00A038E9" w:rsidRPr="00A4282B">
        <w:rPr>
          <w:color w:val="000000" w:themeColor="text1"/>
          <w:sz w:val="22"/>
        </w:rPr>
        <w:t xml:space="preserve"> em processos de contratação efetivados pela Administração Pública, identificando processos homologados em municípios como </w:t>
      </w:r>
      <w:r w:rsidR="00AD42F4" w:rsidRPr="00A4282B">
        <w:rPr>
          <w:color w:val="000000" w:themeColor="text1"/>
          <w:sz w:val="22"/>
        </w:rPr>
        <w:t xml:space="preserve">Prefeitura Municipal de </w:t>
      </w:r>
      <w:r w:rsidR="00C1354F" w:rsidRPr="00A4282B">
        <w:rPr>
          <w:color w:val="000000" w:themeColor="text1"/>
          <w:sz w:val="22"/>
        </w:rPr>
        <w:t>Padre Paraiso</w:t>
      </w:r>
      <w:r w:rsidR="00A038E9" w:rsidRPr="00A4282B">
        <w:rPr>
          <w:color w:val="000000" w:themeColor="text1"/>
          <w:sz w:val="22"/>
        </w:rPr>
        <w:t xml:space="preserve">, </w:t>
      </w:r>
      <w:r w:rsidR="00AD42F4" w:rsidRPr="00A4282B">
        <w:rPr>
          <w:color w:val="000000" w:themeColor="text1"/>
          <w:sz w:val="22"/>
        </w:rPr>
        <w:t xml:space="preserve">Prefeitura Municipal de Periquito, Prefeitura Municipal de Morada de Minas </w:t>
      </w:r>
      <w:r w:rsidR="000505C7" w:rsidRPr="00A4282B">
        <w:rPr>
          <w:color w:val="000000" w:themeColor="text1"/>
          <w:sz w:val="22"/>
        </w:rPr>
        <w:t xml:space="preserve">e </w:t>
      </w:r>
      <w:r w:rsidR="00FB761B" w:rsidRPr="00A4282B">
        <w:rPr>
          <w:color w:val="000000" w:themeColor="text1"/>
          <w:sz w:val="22"/>
        </w:rPr>
        <w:t>Prefeitura Municipal de Braúnas.</w:t>
      </w:r>
    </w:p>
    <w:p w:rsidR="00297749" w:rsidRPr="00A4282B" w:rsidRDefault="00297749" w:rsidP="00297749">
      <w:pPr>
        <w:pStyle w:val="Cabealho"/>
        <w:ind w:left="0" w:firstLine="0"/>
        <w:jc w:val="both"/>
        <w:rPr>
          <w:color w:val="000000" w:themeColor="text1"/>
          <w:sz w:val="22"/>
        </w:rPr>
      </w:pPr>
      <w:r w:rsidRPr="00A4282B">
        <w:rPr>
          <w:color w:val="000000" w:themeColor="text1"/>
          <w:sz w:val="22"/>
        </w:rPr>
        <w:t>Conforme apontado nas pesquisas realizadas no Portal Nacional de Contratações Públicas (PNCP), a contratação do software de gestão pública deve contemplar os módulos necessários para atender às demandas específicas do Executivo Municipal, do Legislativo Municipal e do SAAE. No entanto, cada município possui particularidades próprias, o que impacta diretamente na configuração e nos valores dos contratos firmados. Dessa forma, as diferenças nas necessidades de cada ente refletem variações na estrutura e nos preços dos softwares contratados.</w:t>
      </w:r>
    </w:p>
    <w:p w:rsidR="00FB761B" w:rsidRPr="00A4282B" w:rsidRDefault="00297749" w:rsidP="00297749">
      <w:pPr>
        <w:pStyle w:val="Cabealho"/>
        <w:ind w:left="0" w:firstLine="0"/>
        <w:jc w:val="both"/>
        <w:rPr>
          <w:color w:val="000000" w:themeColor="text1"/>
          <w:sz w:val="22"/>
        </w:rPr>
      </w:pPr>
      <w:r w:rsidRPr="00A4282B">
        <w:rPr>
          <w:color w:val="000000" w:themeColor="text1"/>
          <w:sz w:val="22"/>
        </w:rPr>
        <w:t>A partir das pesquisas realizadas, obtivemos os seguintes resultados:</w:t>
      </w:r>
    </w:p>
    <w:p w:rsidR="00297749" w:rsidRPr="00A4282B" w:rsidRDefault="00297749" w:rsidP="00297749">
      <w:pPr>
        <w:pStyle w:val="Cabealho"/>
        <w:jc w:val="both"/>
        <w:rPr>
          <w:color w:val="000000" w:themeColor="text1"/>
          <w:sz w:val="22"/>
        </w:rPr>
      </w:pPr>
      <w:r w:rsidRPr="00A4282B">
        <w:rPr>
          <w:b/>
          <w:color w:val="000000" w:themeColor="text1"/>
          <w:sz w:val="22"/>
        </w:rPr>
        <w:t>Executivo Municipal</w:t>
      </w:r>
      <w:r w:rsidRPr="00A4282B">
        <w:rPr>
          <w:color w:val="000000" w:themeColor="text1"/>
          <w:sz w:val="22"/>
        </w:rPr>
        <w:t>: Dos 2</w:t>
      </w:r>
      <w:r w:rsidR="00E4330C" w:rsidRPr="00A4282B">
        <w:rPr>
          <w:color w:val="000000" w:themeColor="text1"/>
          <w:sz w:val="22"/>
        </w:rPr>
        <w:t>4</w:t>
      </w:r>
      <w:r w:rsidRPr="00A4282B">
        <w:rPr>
          <w:color w:val="000000" w:themeColor="text1"/>
          <w:sz w:val="22"/>
        </w:rPr>
        <w:t xml:space="preserve"> (vinte e </w:t>
      </w:r>
      <w:r w:rsidR="00E4330C" w:rsidRPr="00A4282B">
        <w:rPr>
          <w:color w:val="000000" w:themeColor="text1"/>
          <w:sz w:val="22"/>
        </w:rPr>
        <w:t>quatro</w:t>
      </w:r>
      <w:r w:rsidRPr="00A4282B">
        <w:rPr>
          <w:color w:val="000000" w:themeColor="text1"/>
          <w:sz w:val="22"/>
        </w:rPr>
        <w:t>) módulos que serão utilizados, foi possível conseguir valores praticados de mercado de apenas 12 (doze).</w:t>
      </w:r>
    </w:p>
    <w:p w:rsidR="00297749" w:rsidRPr="00A4282B" w:rsidRDefault="00297749" w:rsidP="00297749">
      <w:pPr>
        <w:pStyle w:val="Cabealho"/>
        <w:jc w:val="both"/>
        <w:rPr>
          <w:color w:val="000000" w:themeColor="text1"/>
          <w:sz w:val="22"/>
        </w:rPr>
      </w:pPr>
      <w:r w:rsidRPr="00A4282B">
        <w:rPr>
          <w:b/>
          <w:color w:val="000000" w:themeColor="text1"/>
          <w:sz w:val="22"/>
        </w:rPr>
        <w:t xml:space="preserve">Em relação ao Legislativo Municipal e SAAE: </w:t>
      </w:r>
      <w:r w:rsidRPr="00A4282B">
        <w:rPr>
          <w:color w:val="000000" w:themeColor="text1"/>
          <w:sz w:val="22"/>
        </w:rPr>
        <w:t>Foi possível conseguir valores praticados de todos os módulos.</w:t>
      </w:r>
    </w:p>
    <w:p w:rsidR="00297749" w:rsidRPr="00A4282B" w:rsidRDefault="00297749" w:rsidP="00872824">
      <w:pPr>
        <w:pStyle w:val="Cabealho"/>
        <w:ind w:left="0" w:firstLine="0"/>
        <w:jc w:val="both"/>
        <w:rPr>
          <w:color w:val="000000" w:themeColor="text1"/>
          <w:sz w:val="22"/>
        </w:rPr>
      </w:pPr>
      <w:r w:rsidRPr="00A4282B">
        <w:rPr>
          <w:color w:val="000000" w:themeColor="text1"/>
          <w:sz w:val="22"/>
        </w:rPr>
        <w:t>Diante da análise realizada, verifica-se que, apesar de termos identificado valores de mercado para parte dos módulos do Executivo Municipal, a totalidade dos componentes necessários não foi completamente contemplada. Já para o Legislativo Municipal e o SAAE, foi possível obter referências de preços para todos os módulos.</w:t>
      </w:r>
    </w:p>
    <w:p w:rsidR="00297749" w:rsidRPr="00A4282B" w:rsidRDefault="00872824" w:rsidP="00297749">
      <w:pPr>
        <w:pStyle w:val="Cabealho"/>
        <w:jc w:val="both"/>
        <w:rPr>
          <w:color w:val="000000" w:themeColor="text1"/>
          <w:sz w:val="22"/>
        </w:rPr>
      </w:pPr>
      <w:r w:rsidRPr="00A4282B">
        <w:rPr>
          <w:color w:val="000000" w:themeColor="text1"/>
          <w:sz w:val="22"/>
        </w:rPr>
        <w:t xml:space="preserve">Dessa forma, com os preços praticados em contratações similares </w:t>
      </w:r>
      <w:r w:rsidR="00012478" w:rsidRPr="00A4282B">
        <w:rPr>
          <w:color w:val="000000" w:themeColor="text1"/>
          <w:sz w:val="22"/>
        </w:rPr>
        <w:t>aliada aos orçamentos fornecidos por empresas especializadas</w:t>
      </w:r>
      <w:r w:rsidR="00297749" w:rsidRPr="00A4282B">
        <w:rPr>
          <w:color w:val="000000" w:themeColor="text1"/>
          <w:sz w:val="22"/>
        </w:rPr>
        <w:t>, permitirá a definição de um preço médio adequado, garantindo que o processo lic</w:t>
      </w:r>
      <w:r w:rsidR="00012478" w:rsidRPr="00A4282B">
        <w:rPr>
          <w:color w:val="000000" w:themeColor="text1"/>
          <w:sz w:val="22"/>
        </w:rPr>
        <w:t xml:space="preserve">itatório ocorra de forma justa </w:t>
      </w:r>
      <w:r w:rsidR="00297749" w:rsidRPr="00A4282B">
        <w:rPr>
          <w:color w:val="000000" w:themeColor="text1"/>
          <w:sz w:val="22"/>
        </w:rPr>
        <w:t>e alinhada às reais dem</w:t>
      </w:r>
      <w:r w:rsidR="00012478" w:rsidRPr="00A4282B">
        <w:rPr>
          <w:color w:val="000000" w:themeColor="text1"/>
          <w:sz w:val="22"/>
        </w:rPr>
        <w:t>andas da administração pública.</w:t>
      </w:r>
    </w:p>
    <w:p w:rsidR="00297749" w:rsidRPr="00A4282B" w:rsidRDefault="00297749" w:rsidP="00297749">
      <w:pPr>
        <w:pStyle w:val="Cabealho"/>
        <w:ind w:left="0" w:firstLine="0"/>
        <w:jc w:val="both"/>
        <w:rPr>
          <w:color w:val="000000" w:themeColor="text1"/>
        </w:rPr>
      </w:pPr>
    </w:p>
    <w:p w:rsidR="00B6181E" w:rsidRPr="00A4282B" w:rsidRDefault="008314A7" w:rsidP="009F4EAF">
      <w:pPr>
        <w:pStyle w:val="Cabealho"/>
        <w:ind w:left="0" w:firstLine="0"/>
        <w:jc w:val="both"/>
        <w:rPr>
          <w:b/>
          <w:color w:val="000000" w:themeColor="text1"/>
        </w:rPr>
      </w:pPr>
      <w:r w:rsidRPr="00A4282B">
        <w:rPr>
          <w:b/>
          <w:color w:val="000000" w:themeColor="text1"/>
        </w:rPr>
        <w:t>III - a utilização de dados de pesquisa de preços publicada em mídia especializada, de tabela de referência formalmente aprovada pelo Poder Executivo municipal, estadual ou federal e de sítios eletrônicos especializados ou de domínio amplo, desde que contenham a data e hora de acesso:</w:t>
      </w:r>
    </w:p>
    <w:p w:rsidR="00025980" w:rsidRPr="00A4282B" w:rsidRDefault="00025980" w:rsidP="00B56A25">
      <w:pPr>
        <w:spacing w:line="240" w:lineRule="auto"/>
        <w:ind w:left="0" w:firstLine="0"/>
        <w:jc w:val="both"/>
        <w:textAlignment w:val="auto"/>
        <w:outlineLvl w:val="9"/>
        <w:rPr>
          <w:color w:val="000000" w:themeColor="text1"/>
          <w:sz w:val="22"/>
        </w:rPr>
      </w:pPr>
      <w:r w:rsidRPr="00A4282B">
        <w:rPr>
          <w:color w:val="000000" w:themeColor="text1"/>
          <w:sz w:val="22"/>
        </w:rPr>
        <w:t xml:space="preserve">Não é viável a realização da pesquisa de preços por meio de mídias especializadas, tabelas de referência ou sítios eletrônicos de domínio amplo, uma vez que os serviços de </w:t>
      </w:r>
      <w:r w:rsidR="00012478" w:rsidRPr="00A4282B">
        <w:rPr>
          <w:color w:val="000000" w:themeColor="text1"/>
          <w:sz w:val="22"/>
        </w:rPr>
        <w:t xml:space="preserve">locação de software de gestão pública </w:t>
      </w:r>
      <w:r w:rsidRPr="00A4282B">
        <w:rPr>
          <w:color w:val="000000" w:themeColor="text1"/>
          <w:sz w:val="22"/>
        </w:rPr>
        <w:t>possuem características altamente customizáveis.</w:t>
      </w:r>
    </w:p>
    <w:p w:rsidR="00025980" w:rsidRPr="00A4282B" w:rsidRDefault="00025980" w:rsidP="00B56A25">
      <w:pPr>
        <w:spacing w:line="240" w:lineRule="auto"/>
        <w:ind w:left="0" w:firstLine="0"/>
        <w:jc w:val="both"/>
        <w:textAlignment w:val="auto"/>
        <w:outlineLvl w:val="9"/>
        <w:rPr>
          <w:color w:val="000000" w:themeColor="text1"/>
          <w:sz w:val="22"/>
        </w:rPr>
      </w:pPr>
      <w:r w:rsidRPr="00A4282B">
        <w:rPr>
          <w:color w:val="000000" w:themeColor="text1"/>
          <w:sz w:val="22"/>
        </w:rPr>
        <w:t xml:space="preserve">Diferentemente de produtos padronizados, a precificação desses serviços depende de uma série de fatores específicos para cada contratação, como a complexidade do </w:t>
      </w:r>
      <w:r w:rsidR="003C47E0" w:rsidRPr="00A4282B">
        <w:rPr>
          <w:color w:val="000000" w:themeColor="text1"/>
          <w:sz w:val="22"/>
        </w:rPr>
        <w:t>software</w:t>
      </w:r>
      <w:r w:rsidRPr="00A4282B">
        <w:rPr>
          <w:color w:val="000000" w:themeColor="text1"/>
          <w:sz w:val="22"/>
        </w:rPr>
        <w:t>, a infraestrutura necessária, os níveis de suporte e manutenção, além das funcionalidades exigidas pelo contratante. Cada prefeitura, por exemplo, pode demandar integrações específicas, módulos adicionais ou requisitos técnicos distintos, tornando inviável a definição de um valor único aplicável a diferentes cenários.</w:t>
      </w:r>
    </w:p>
    <w:p w:rsidR="00E92527" w:rsidRPr="00A4282B" w:rsidRDefault="00025980" w:rsidP="00B56A25">
      <w:pPr>
        <w:spacing w:line="240" w:lineRule="auto"/>
        <w:ind w:left="0" w:firstLine="0"/>
        <w:jc w:val="both"/>
        <w:textAlignment w:val="auto"/>
        <w:outlineLvl w:val="9"/>
        <w:rPr>
          <w:color w:val="000000" w:themeColor="text1"/>
          <w:sz w:val="22"/>
        </w:rPr>
      </w:pPr>
      <w:r w:rsidRPr="00A4282B">
        <w:rPr>
          <w:color w:val="000000" w:themeColor="text1"/>
          <w:sz w:val="22"/>
        </w:rPr>
        <w:t xml:space="preserve">Dessa forma, </w:t>
      </w:r>
      <w:r w:rsidR="003C47E0" w:rsidRPr="00A4282B">
        <w:rPr>
          <w:color w:val="000000" w:themeColor="text1"/>
          <w:sz w:val="22"/>
        </w:rPr>
        <w:t>a maneira mais</w:t>
      </w:r>
      <w:r w:rsidRPr="00A4282B">
        <w:rPr>
          <w:color w:val="000000" w:themeColor="text1"/>
          <w:sz w:val="22"/>
        </w:rPr>
        <w:t xml:space="preserve"> adequada e tecnicamente segura para estimar os valores desses serviços é a obtenção de orçamentos diretamente com empresas especializadas, que podem avaliar as necessidades específicas da administração pública e apresentar uma proposta compatível com as exigências do contrato.</w:t>
      </w:r>
    </w:p>
    <w:p w:rsidR="00025980" w:rsidRPr="00A4282B" w:rsidRDefault="00025980" w:rsidP="00025980">
      <w:pPr>
        <w:suppressAutoHyphens w:val="0"/>
        <w:spacing w:line="240" w:lineRule="auto"/>
        <w:ind w:left="0" w:firstLine="0"/>
        <w:jc w:val="both"/>
        <w:textAlignment w:val="auto"/>
        <w:outlineLvl w:val="9"/>
        <w:rPr>
          <w:rFonts w:eastAsia="Calibri"/>
          <w:color w:val="000000" w:themeColor="text1"/>
          <w:lang w:eastAsia="en-US"/>
        </w:rPr>
      </w:pPr>
    </w:p>
    <w:p w:rsidR="00B6181E" w:rsidRPr="00A4282B" w:rsidRDefault="008314A7" w:rsidP="000A41AD">
      <w:pPr>
        <w:spacing w:line="240" w:lineRule="auto"/>
        <w:ind w:left="0" w:firstLine="0"/>
        <w:jc w:val="both"/>
        <w:textAlignment w:val="auto"/>
        <w:outlineLvl w:val="9"/>
        <w:rPr>
          <w:rFonts w:eastAsia="Calibri"/>
          <w:b/>
          <w:color w:val="000000" w:themeColor="text1"/>
          <w:lang w:eastAsia="en-US"/>
        </w:rPr>
      </w:pPr>
      <w:r w:rsidRPr="00A4282B">
        <w:rPr>
          <w:rFonts w:eastAsia="Calibri"/>
          <w:b/>
          <w:color w:val="000000" w:themeColor="text1"/>
          <w:lang w:eastAsia="en-US"/>
        </w:rPr>
        <w:t>IV – a pesquisa direta com no mínimo 03 (três) fornecedores ou prestadores de serviços, conforme o caso, desde que seja apresentada justificativa da escolha desses fornecedores:</w:t>
      </w:r>
    </w:p>
    <w:p w:rsidR="00E7612B" w:rsidRPr="00A4282B" w:rsidRDefault="008314A7" w:rsidP="000A41AD">
      <w:pPr>
        <w:spacing w:line="240" w:lineRule="auto"/>
        <w:ind w:left="0" w:firstLine="0"/>
        <w:jc w:val="both"/>
        <w:textAlignment w:val="auto"/>
        <w:outlineLvl w:val="9"/>
        <w:rPr>
          <w:rFonts w:eastAsia="Calibri"/>
          <w:b/>
          <w:color w:val="000000" w:themeColor="text1"/>
          <w:kern w:val="2"/>
          <w:lang w:eastAsia="en-US"/>
          <w14:ligatures w14:val="standardContextual"/>
        </w:rPr>
      </w:pPr>
      <w:r w:rsidRPr="00A4282B">
        <w:rPr>
          <w:rFonts w:eastAsia="Calibri"/>
          <w:b/>
          <w:color w:val="000000" w:themeColor="text1"/>
          <w:kern w:val="2"/>
          <w:lang w:eastAsia="en-US"/>
          <w14:ligatures w14:val="standardContextual"/>
        </w:rPr>
        <w:t>Entramos em contato com empresas pertencentes ao ramo do objeto demandado, onde encontramos os contatos através de processos realizados por outros órgãos públicos, o qual obtivemos retorno dos seguintes fornecedores:</w:t>
      </w:r>
    </w:p>
    <w:p w:rsidR="0089667E" w:rsidRPr="00A4282B" w:rsidRDefault="00F1581D" w:rsidP="00BB487F">
      <w:pPr>
        <w:pStyle w:val="PargrafodaLista"/>
        <w:numPr>
          <w:ilvl w:val="0"/>
          <w:numId w:val="3"/>
        </w:numPr>
        <w:suppressAutoHyphens w:val="0"/>
        <w:spacing w:line="240" w:lineRule="auto"/>
        <w:ind w:hanging="720"/>
        <w:jc w:val="both"/>
        <w:textAlignment w:val="auto"/>
        <w:outlineLvl w:val="9"/>
        <w:rPr>
          <w:color w:val="000000" w:themeColor="text1"/>
          <w:sz w:val="22"/>
        </w:rPr>
      </w:pPr>
      <w:r w:rsidRPr="00A4282B">
        <w:rPr>
          <w:color w:val="000000" w:themeColor="text1"/>
          <w:sz w:val="22"/>
        </w:rPr>
        <w:lastRenderedPageBreak/>
        <w:t>Equiplano Sistemas LTDA – CNPJ 76.030.717/0001-48</w:t>
      </w:r>
    </w:p>
    <w:p w:rsidR="00A4282B" w:rsidRPr="00A4282B" w:rsidRDefault="00F77451" w:rsidP="00A4282B">
      <w:pPr>
        <w:pStyle w:val="PargrafodaLista"/>
        <w:numPr>
          <w:ilvl w:val="0"/>
          <w:numId w:val="3"/>
        </w:numPr>
        <w:tabs>
          <w:tab w:val="clear" w:pos="0"/>
        </w:tabs>
        <w:suppressAutoHyphens w:val="0"/>
        <w:spacing w:line="240" w:lineRule="auto"/>
        <w:ind w:hanging="720"/>
        <w:jc w:val="both"/>
        <w:textAlignment w:val="auto"/>
        <w:outlineLvl w:val="9"/>
        <w:rPr>
          <w:color w:val="000000" w:themeColor="text1"/>
          <w:sz w:val="22"/>
        </w:rPr>
      </w:pPr>
      <w:r w:rsidRPr="00A4282B">
        <w:rPr>
          <w:color w:val="000000" w:themeColor="text1"/>
          <w:sz w:val="22"/>
        </w:rPr>
        <w:t>IPM SISTEMAS LTDA – CNPJ 01.258.027/0001-41</w:t>
      </w:r>
    </w:p>
    <w:p w:rsidR="00A4282B" w:rsidRPr="00A4282B" w:rsidRDefault="00A4282B" w:rsidP="00A4282B">
      <w:pPr>
        <w:suppressAutoHyphens w:val="0"/>
        <w:spacing w:line="240" w:lineRule="auto"/>
        <w:ind w:left="0" w:firstLine="0"/>
        <w:jc w:val="both"/>
        <w:textAlignment w:val="auto"/>
        <w:outlineLvl w:val="9"/>
        <w:rPr>
          <w:color w:val="000000" w:themeColor="text1"/>
          <w:sz w:val="22"/>
        </w:rPr>
      </w:pPr>
    </w:p>
    <w:p w:rsidR="002558B9" w:rsidRPr="002558B9" w:rsidRDefault="002558B9" w:rsidP="002558B9">
      <w:pPr>
        <w:spacing w:line="240" w:lineRule="auto"/>
        <w:ind w:left="0" w:firstLine="0"/>
        <w:jc w:val="both"/>
        <w:textAlignment w:val="auto"/>
        <w:outlineLvl w:val="9"/>
        <w:rPr>
          <w:rFonts w:eastAsia="Calibri"/>
          <w:color w:val="000000" w:themeColor="text1"/>
          <w:lang w:eastAsia="en-US"/>
        </w:rPr>
      </w:pPr>
      <w:r>
        <w:rPr>
          <w:rFonts w:eastAsia="Calibri"/>
          <w:color w:val="000000" w:themeColor="text1"/>
          <w:lang w:eastAsia="en-US"/>
        </w:rPr>
        <w:t>F</w:t>
      </w:r>
      <w:r w:rsidRPr="002558B9">
        <w:rPr>
          <w:rFonts w:eastAsia="Calibri"/>
          <w:color w:val="000000" w:themeColor="text1"/>
          <w:lang w:eastAsia="en-US"/>
        </w:rPr>
        <w:t xml:space="preserve">oi conduzida uma análise comparativa das propostas apresentadas pelas empresas Equiplano Sistemas Ltda. e IPM, abrangendo diversos módulos de sistemas, tais como Gerenciamento de Cartão Ponto Eletrônico On-Line, Cemitério, Protocolo Digital, Licitação e Compras, Fiscalização Fazendária e Conversão, Migração, Implantação, Treinamento e Suporte. </w:t>
      </w:r>
      <w:r w:rsidRPr="00DD65F0">
        <w:rPr>
          <w:rFonts w:eastAsia="Calibri"/>
          <w:b/>
          <w:color w:val="000000" w:themeColor="text1"/>
          <w:lang w:eastAsia="en-US"/>
        </w:rPr>
        <w:t>Nesses itens, observa-se que a Equiplano apresenta valores superiores</w:t>
      </w:r>
      <w:r w:rsidRPr="002558B9">
        <w:rPr>
          <w:rFonts w:eastAsia="Calibri"/>
          <w:color w:val="000000" w:themeColor="text1"/>
          <w:lang w:eastAsia="en-US"/>
        </w:rPr>
        <w:t>, o que pode ser atribuído às especificidades técnicas de seus sistemas, incluindo escopo, funcionalidades, metodologias de integração e níveis de suporte diferenciados.</w:t>
      </w:r>
    </w:p>
    <w:p w:rsidR="002558B9" w:rsidRPr="002558B9" w:rsidRDefault="002558B9" w:rsidP="002558B9">
      <w:pPr>
        <w:spacing w:line="240" w:lineRule="auto"/>
        <w:ind w:left="0" w:firstLine="0"/>
        <w:jc w:val="both"/>
        <w:textAlignment w:val="auto"/>
        <w:outlineLvl w:val="9"/>
        <w:rPr>
          <w:rFonts w:eastAsia="Calibri"/>
          <w:color w:val="000000" w:themeColor="text1"/>
          <w:lang w:eastAsia="en-US"/>
        </w:rPr>
      </w:pPr>
    </w:p>
    <w:p w:rsidR="002558B9" w:rsidRPr="002558B9" w:rsidRDefault="002558B9" w:rsidP="002558B9">
      <w:pPr>
        <w:spacing w:line="240" w:lineRule="auto"/>
        <w:ind w:left="0" w:firstLine="0"/>
        <w:jc w:val="both"/>
        <w:textAlignment w:val="auto"/>
        <w:outlineLvl w:val="9"/>
        <w:rPr>
          <w:rFonts w:eastAsia="Calibri"/>
          <w:color w:val="000000" w:themeColor="text1"/>
          <w:lang w:eastAsia="en-US"/>
        </w:rPr>
      </w:pPr>
      <w:r w:rsidRPr="002558B9">
        <w:rPr>
          <w:rFonts w:eastAsia="Calibri"/>
          <w:color w:val="000000" w:themeColor="text1"/>
          <w:lang w:eastAsia="en-US"/>
        </w:rPr>
        <w:t xml:space="preserve">A variação de preços entre os fornecedores reflete as particularidades de cada solução ofertada. </w:t>
      </w:r>
      <w:r w:rsidRPr="00DD65F0">
        <w:rPr>
          <w:rFonts w:eastAsia="Calibri"/>
          <w:b/>
          <w:color w:val="000000" w:themeColor="text1"/>
          <w:lang w:eastAsia="en-US"/>
        </w:rPr>
        <w:t>Em determinados módulos</w:t>
      </w:r>
      <w:r w:rsidRPr="002558B9">
        <w:rPr>
          <w:rFonts w:eastAsia="Calibri"/>
          <w:color w:val="000000" w:themeColor="text1"/>
          <w:lang w:eastAsia="en-US"/>
        </w:rPr>
        <w:t xml:space="preserve">, como Controle de Isenção de IPTU, Fiscalização ISS, Nota Fiscal Eletrônica de Serviços, Contabilidade Pública e Controle Patrimonial, </w:t>
      </w:r>
      <w:r w:rsidRPr="00DD65F0">
        <w:rPr>
          <w:rFonts w:eastAsia="Calibri"/>
          <w:b/>
          <w:color w:val="000000" w:themeColor="text1"/>
          <w:lang w:eastAsia="en-US"/>
        </w:rPr>
        <w:t>a IPM apresenta valores superiores aos da Equiplano</w:t>
      </w:r>
      <w:r w:rsidRPr="002558B9">
        <w:rPr>
          <w:rFonts w:eastAsia="Calibri"/>
          <w:color w:val="000000" w:themeColor="text1"/>
          <w:lang w:eastAsia="en-US"/>
        </w:rPr>
        <w:t>, evidenciando que as diferenças de preço decorrem de características intrínsecas às soluções propostas por cada empresa. Adicionalmente, a ausência de propostas da IPM para alguns módulos reforça a necessidade de considerar múltiplas fontes de pesquisa, conforme orienta o § 1º do art. 23 da Lei nº 14.133/2021, que recomenda a utilização de parâmetros como preços praticados em contratações anteriores, cestas de preços e plataformas como o Painel de Preços (PNCP).</w:t>
      </w:r>
    </w:p>
    <w:p w:rsidR="002558B9" w:rsidRPr="002558B9" w:rsidRDefault="002558B9" w:rsidP="002558B9">
      <w:pPr>
        <w:spacing w:line="240" w:lineRule="auto"/>
        <w:ind w:left="0" w:firstLine="0"/>
        <w:jc w:val="both"/>
        <w:textAlignment w:val="auto"/>
        <w:outlineLvl w:val="9"/>
        <w:rPr>
          <w:rFonts w:eastAsia="Calibri"/>
          <w:color w:val="000000" w:themeColor="text1"/>
          <w:lang w:eastAsia="en-US"/>
        </w:rPr>
      </w:pPr>
    </w:p>
    <w:p w:rsidR="002558B9" w:rsidRPr="00DD65F0" w:rsidRDefault="002558B9" w:rsidP="002558B9">
      <w:pPr>
        <w:spacing w:line="240" w:lineRule="auto"/>
        <w:ind w:left="0" w:firstLine="0"/>
        <w:jc w:val="both"/>
        <w:textAlignment w:val="auto"/>
        <w:outlineLvl w:val="9"/>
        <w:rPr>
          <w:rFonts w:eastAsia="Calibri"/>
          <w:b/>
          <w:color w:val="000000" w:themeColor="text1"/>
          <w:lang w:eastAsia="en-US"/>
        </w:rPr>
      </w:pPr>
      <w:r w:rsidRPr="00DD65F0">
        <w:rPr>
          <w:rFonts w:eastAsia="Calibri"/>
          <w:b/>
          <w:color w:val="000000" w:themeColor="text1"/>
          <w:lang w:eastAsia="en-US"/>
        </w:rPr>
        <w:t>A pesquisa de preços foi fundamentada em fontes diversificadas, incluindo cestas de preços municipais, atas homologadas, dados disponíveis no PNCP e orçamentos fornecidos pelas empresas. Essa metodologia, alinhada ao disposto no art. 23, inciso I, da Lei nº 14.133/2021, garante a robustez do levantamento e a conformidade com os princípios da economicidade e da eficiência. A Média das Cestas, conforme apresentada, representa um valor médio de mercado equilibrado, integrando as propostas complementares de ambos os fornecedores e refletindo os preços praticados no mercado para os itens analisados.</w:t>
      </w:r>
    </w:p>
    <w:p w:rsidR="002558B9" w:rsidRPr="002558B9" w:rsidRDefault="002558B9" w:rsidP="002558B9">
      <w:pPr>
        <w:spacing w:line="240" w:lineRule="auto"/>
        <w:ind w:left="0" w:firstLine="0"/>
        <w:jc w:val="both"/>
        <w:textAlignment w:val="auto"/>
        <w:outlineLvl w:val="9"/>
        <w:rPr>
          <w:rFonts w:eastAsia="Calibri"/>
          <w:color w:val="000000" w:themeColor="text1"/>
          <w:lang w:eastAsia="en-US"/>
        </w:rPr>
      </w:pPr>
    </w:p>
    <w:p w:rsidR="00A4282B" w:rsidRPr="00A4282B" w:rsidRDefault="002558B9" w:rsidP="002558B9">
      <w:pPr>
        <w:spacing w:line="240" w:lineRule="auto"/>
        <w:ind w:left="0" w:firstLine="0"/>
        <w:jc w:val="both"/>
        <w:textAlignment w:val="auto"/>
        <w:outlineLvl w:val="9"/>
        <w:rPr>
          <w:color w:val="000000" w:themeColor="text1"/>
          <w:sz w:val="22"/>
        </w:rPr>
      </w:pPr>
      <w:r w:rsidRPr="002558B9">
        <w:rPr>
          <w:rFonts w:eastAsia="Calibri"/>
          <w:color w:val="000000" w:themeColor="text1"/>
          <w:lang w:eastAsia="en-US"/>
        </w:rPr>
        <w:t>As diferenças de valores entre Equiplano e IPM são justificáveis pelas especificidades técnicas e operacionais de cada solução, conforme previsto no art. 6º, inciso IX, da Lei nº 14.133/2021, que define o preço estimado como aquele apurado com base em pesquisa de mercado. Assim, ambas as propostas são consideradas válidas e, quando analisadas em conjunto, compõem um referencial médio de mercado confiável, apto a subsidiar a definição do valor estimado da contratação, em conformidade com os preceitos legais aplicáveis.</w:t>
      </w:r>
    </w:p>
    <w:p w:rsidR="007F5E37" w:rsidRPr="00A4282B" w:rsidRDefault="004353DF" w:rsidP="002558B9">
      <w:pPr>
        <w:spacing w:line="240" w:lineRule="auto"/>
        <w:ind w:left="0" w:firstLine="0"/>
        <w:jc w:val="both"/>
        <w:textAlignment w:val="auto"/>
        <w:outlineLvl w:val="9"/>
        <w:rPr>
          <w:color w:val="000000" w:themeColor="text1"/>
        </w:rPr>
      </w:pPr>
      <w:r w:rsidRPr="00A4282B">
        <w:rPr>
          <w:color w:val="000000" w:themeColor="text1"/>
        </w:rPr>
        <w:t>Informamos ainda que enviamos e-mail para os seguintes endereços</w:t>
      </w:r>
      <w:r w:rsidR="00610AF4" w:rsidRPr="00A4282B">
        <w:rPr>
          <w:color w:val="000000" w:themeColor="text1"/>
        </w:rPr>
        <w:t xml:space="preserve"> porem não obtivemos resposta</w:t>
      </w:r>
      <w:r w:rsidRPr="00A4282B">
        <w:rPr>
          <w:color w:val="000000" w:themeColor="text1"/>
        </w:rPr>
        <w:t xml:space="preserve">: </w:t>
      </w:r>
    </w:p>
    <w:p w:rsidR="005952F4" w:rsidRPr="00A4282B" w:rsidRDefault="005952F4">
      <w:pPr>
        <w:suppressAutoHyphens w:val="0"/>
        <w:spacing w:line="240" w:lineRule="auto"/>
        <w:ind w:left="0" w:firstLine="0"/>
        <w:jc w:val="both"/>
        <w:textAlignment w:val="auto"/>
        <w:outlineLvl w:val="9"/>
        <w:rPr>
          <w:rFonts w:eastAsia="SimSun"/>
          <w:color w:val="000000" w:themeColor="text1"/>
          <w:position w:val="0"/>
          <w:sz w:val="20"/>
          <w:szCs w:val="20"/>
          <w:lang w:eastAsia="zh-CN" w:bidi="hi-IN"/>
        </w:rPr>
      </w:pPr>
      <w:r w:rsidRPr="00A4282B">
        <w:rPr>
          <w:color w:val="000000" w:themeColor="text1"/>
        </w:rPr>
        <w:fldChar w:fldCharType="begin"/>
      </w:r>
      <w:r w:rsidRPr="00A4282B">
        <w:rPr>
          <w:color w:val="000000" w:themeColor="text1"/>
        </w:rPr>
        <w:instrText xml:space="preserve"> LINK Excel.Sheet.12 "Pasta1" "Plan1!L1C1:L13C2" \a \f 5 \h  \* MERGEFORMAT </w:instrText>
      </w:r>
      <w:r w:rsidRPr="00A4282B">
        <w:rPr>
          <w:color w:val="000000" w:themeColor="text1"/>
        </w:rPr>
        <w:fldChar w:fldCharType="separate"/>
      </w:r>
    </w:p>
    <w:tbl>
      <w:tblPr>
        <w:tblStyle w:val="Tabelacomgrade"/>
        <w:tblpPr w:leftFromText="141" w:rightFromText="141" w:vertAnchor="text" w:tblpX="817" w:tblpY="1"/>
        <w:tblOverlap w:val="never"/>
        <w:tblW w:w="8050" w:type="dxa"/>
        <w:tblLook w:val="04A0" w:firstRow="1" w:lastRow="0" w:firstColumn="1" w:lastColumn="0" w:noHBand="0" w:noVBand="1"/>
      </w:tblPr>
      <w:tblGrid>
        <w:gridCol w:w="4050"/>
        <w:gridCol w:w="4000"/>
      </w:tblGrid>
      <w:tr w:rsidR="00A4282B" w:rsidRPr="00A4282B" w:rsidTr="00610AF4">
        <w:trPr>
          <w:trHeight w:val="300"/>
        </w:trPr>
        <w:tc>
          <w:tcPr>
            <w:tcW w:w="4050" w:type="dxa"/>
            <w:noWrap/>
            <w:hideMark/>
          </w:tcPr>
          <w:p w:rsidR="005952F4" w:rsidRPr="00A4282B" w:rsidRDefault="005B1CEF" w:rsidP="00610AF4">
            <w:pPr>
              <w:suppressAutoHyphens w:val="0"/>
              <w:spacing w:line="240" w:lineRule="auto"/>
              <w:ind w:left="0" w:firstLine="0"/>
              <w:jc w:val="center"/>
              <w:textAlignment w:val="auto"/>
              <w:outlineLvl w:val="9"/>
              <w:rPr>
                <w:color w:val="000000" w:themeColor="text1"/>
              </w:rPr>
            </w:pPr>
            <w:hyperlink r:id="rId12" w:tooltip="comercial@sysmar.com.br" w:history="1">
              <w:r w:rsidR="00756604" w:rsidRPr="00A4282B">
                <w:rPr>
                  <w:rStyle w:val="Hyperlink"/>
                  <w:color w:val="000000" w:themeColor="text1"/>
                  <w:u w:val="none"/>
                </w:rPr>
                <w:t>comercial@sysmar.com.br</w:t>
              </w:r>
            </w:hyperlink>
          </w:p>
        </w:tc>
        <w:tc>
          <w:tcPr>
            <w:tcW w:w="4000" w:type="dxa"/>
            <w:noWrap/>
            <w:hideMark/>
          </w:tcPr>
          <w:p w:rsidR="005952F4" w:rsidRPr="00A4282B" w:rsidRDefault="005B1CEF" w:rsidP="00610AF4">
            <w:pPr>
              <w:suppressAutoHyphens w:val="0"/>
              <w:spacing w:line="240" w:lineRule="auto"/>
              <w:ind w:left="0" w:firstLine="0"/>
              <w:jc w:val="center"/>
              <w:textAlignment w:val="auto"/>
              <w:outlineLvl w:val="9"/>
              <w:rPr>
                <w:color w:val="000000" w:themeColor="text1"/>
              </w:rPr>
            </w:pPr>
            <w:hyperlink r:id="rId13" w:history="1">
              <w:r w:rsidR="005952F4" w:rsidRPr="00A4282B">
                <w:rPr>
                  <w:rStyle w:val="Hyperlink"/>
                  <w:color w:val="000000" w:themeColor="text1"/>
                  <w:u w:val="none"/>
                </w:rPr>
                <w:t>comercial@elotech.com.br</w:t>
              </w:r>
            </w:hyperlink>
          </w:p>
        </w:tc>
      </w:tr>
      <w:tr w:rsidR="00A4282B" w:rsidRPr="00A4282B" w:rsidTr="00610AF4">
        <w:trPr>
          <w:trHeight w:val="300"/>
        </w:trPr>
        <w:tc>
          <w:tcPr>
            <w:tcW w:w="4050" w:type="dxa"/>
            <w:noWrap/>
            <w:hideMark/>
          </w:tcPr>
          <w:p w:rsidR="00756604" w:rsidRPr="00A4282B" w:rsidRDefault="005B1CEF" w:rsidP="00756604">
            <w:pPr>
              <w:suppressAutoHyphens w:val="0"/>
              <w:spacing w:line="240" w:lineRule="auto"/>
              <w:ind w:left="0" w:firstLine="0"/>
              <w:jc w:val="center"/>
              <w:textAlignment w:val="auto"/>
              <w:outlineLvl w:val="9"/>
              <w:rPr>
                <w:color w:val="000000" w:themeColor="text1"/>
              </w:rPr>
            </w:pPr>
            <w:hyperlink r:id="rId14" w:tooltip="fernanda.silva@senior.com.br" w:history="1">
              <w:r w:rsidR="00756604" w:rsidRPr="00A4282B">
                <w:rPr>
                  <w:rStyle w:val="Hyperlink"/>
                  <w:color w:val="000000" w:themeColor="text1"/>
                  <w:u w:val="none"/>
                </w:rPr>
                <w:t>fernanda.silva@senior.com.br</w:t>
              </w:r>
            </w:hyperlink>
          </w:p>
        </w:tc>
        <w:tc>
          <w:tcPr>
            <w:tcW w:w="4000" w:type="dxa"/>
            <w:noWrap/>
            <w:hideMark/>
          </w:tcPr>
          <w:p w:rsidR="00756604" w:rsidRPr="00A4282B" w:rsidRDefault="005B1CEF" w:rsidP="00756604">
            <w:pPr>
              <w:suppressAutoHyphens w:val="0"/>
              <w:spacing w:line="240" w:lineRule="auto"/>
              <w:ind w:left="0" w:firstLine="0"/>
              <w:jc w:val="center"/>
              <w:textAlignment w:val="auto"/>
              <w:outlineLvl w:val="9"/>
              <w:rPr>
                <w:color w:val="000000" w:themeColor="text1"/>
              </w:rPr>
            </w:pPr>
            <w:hyperlink r:id="rId15" w:history="1">
              <w:r w:rsidR="00756604" w:rsidRPr="00A4282B">
                <w:rPr>
                  <w:rStyle w:val="Hyperlink"/>
                  <w:color w:val="000000" w:themeColor="text1"/>
                  <w:u w:val="none"/>
                </w:rPr>
                <w:t>comercial@golive.software</w:t>
              </w:r>
            </w:hyperlink>
          </w:p>
        </w:tc>
      </w:tr>
      <w:tr w:rsidR="00A4282B" w:rsidRPr="00A4282B" w:rsidTr="00610AF4">
        <w:trPr>
          <w:trHeight w:val="300"/>
        </w:trPr>
        <w:tc>
          <w:tcPr>
            <w:tcW w:w="4050" w:type="dxa"/>
            <w:noWrap/>
            <w:hideMark/>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16" w:history="1">
              <w:r w:rsidR="00714192" w:rsidRPr="00A4282B">
                <w:rPr>
                  <w:rStyle w:val="Hyperlink"/>
                  <w:color w:val="000000" w:themeColor="text1"/>
                  <w:u w:val="none"/>
                </w:rPr>
                <w:t>dev.vendas@softplan.com.br</w:t>
              </w:r>
            </w:hyperlink>
          </w:p>
        </w:tc>
        <w:tc>
          <w:tcPr>
            <w:tcW w:w="4000" w:type="dxa"/>
            <w:noWrap/>
            <w:hideMark/>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17" w:history="1">
              <w:r w:rsidR="00714192" w:rsidRPr="00A4282B">
                <w:rPr>
                  <w:rStyle w:val="Hyperlink"/>
                  <w:color w:val="000000" w:themeColor="text1"/>
                  <w:u w:val="none"/>
                </w:rPr>
                <w:t>contato@gemmap.com.br</w:t>
              </w:r>
            </w:hyperlink>
          </w:p>
        </w:tc>
      </w:tr>
      <w:tr w:rsidR="00A4282B" w:rsidRPr="00A4282B" w:rsidTr="00756604">
        <w:trPr>
          <w:trHeight w:val="300"/>
        </w:trPr>
        <w:tc>
          <w:tcPr>
            <w:tcW w:w="4050" w:type="dxa"/>
            <w:noWrap/>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18" w:history="1">
              <w:r w:rsidR="00714192" w:rsidRPr="00A4282B">
                <w:rPr>
                  <w:rStyle w:val="Hyperlink"/>
                  <w:color w:val="000000" w:themeColor="text1"/>
                  <w:u w:val="none"/>
                </w:rPr>
                <w:t>contato@elotech.com.br</w:t>
              </w:r>
            </w:hyperlink>
          </w:p>
        </w:tc>
        <w:tc>
          <w:tcPr>
            <w:tcW w:w="4000" w:type="dxa"/>
            <w:noWrap/>
            <w:hideMark/>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19" w:history="1">
              <w:r w:rsidR="00714192" w:rsidRPr="00A4282B">
                <w:rPr>
                  <w:rStyle w:val="Hyperlink"/>
                  <w:color w:val="000000" w:themeColor="text1"/>
                  <w:u w:val="none"/>
                </w:rPr>
                <w:t>delta@deltainf.com.br</w:t>
              </w:r>
            </w:hyperlink>
          </w:p>
        </w:tc>
      </w:tr>
      <w:tr w:rsidR="00A4282B" w:rsidRPr="00A4282B" w:rsidTr="00714192">
        <w:trPr>
          <w:trHeight w:val="300"/>
        </w:trPr>
        <w:tc>
          <w:tcPr>
            <w:tcW w:w="4050" w:type="dxa"/>
            <w:noWrap/>
          </w:tcPr>
          <w:p w:rsidR="00714192" w:rsidRPr="00A4282B" w:rsidRDefault="00714192" w:rsidP="00714192">
            <w:pPr>
              <w:suppressAutoHyphens w:val="0"/>
              <w:spacing w:line="240" w:lineRule="auto"/>
              <w:ind w:left="0" w:firstLine="0"/>
              <w:jc w:val="center"/>
              <w:textAlignment w:val="auto"/>
              <w:outlineLvl w:val="9"/>
              <w:rPr>
                <w:color w:val="000000" w:themeColor="text1"/>
              </w:rPr>
            </w:pPr>
            <w:r w:rsidRPr="00A4282B">
              <w:rPr>
                <w:color w:val="000000" w:themeColor="text1"/>
              </w:rPr>
              <w:t>master@masterpublica.com.br</w:t>
            </w:r>
          </w:p>
        </w:tc>
        <w:tc>
          <w:tcPr>
            <w:tcW w:w="4000" w:type="dxa"/>
            <w:noWrap/>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20" w:history="1">
              <w:r w:rsidR="00714192" w:rsidRPr="00A4282B">
                <w:rPr>
                  <w:rStyle w:val="Hyperlink"/>
                  <w:color w:val="000000" w:themeColor="text1"/>
                  <w:u w:val="none"/>
                </w:rPr>
                <w:t>contato@metabit.com.br</w:t>
              </w:r>
            </w:hyperlink>
          </w:p>
        </w:tc>
      </w:tr>
      <w:tr w:rsidR="00A4282B" w:rsidRPr="00A4282B" w:rsidTr="00714192">
        <w:trPr>
          <w:trHeight w:val="300"/>
        </w:trPr>
        <w:tc>
          <w:tcPr>
            <w:tcW w:w="4050" w:type="dxa"/>
            <w:noWrap/>
          </w:tcPr>
          <w:p w:rsidR="00714192" w:rsidRPr="00A4282B" w:rsidRDefault="00714192" w:rsidP="00714192">
            <w:pPr>
              <w:suppressAutoHyphens w:val="0"/>
              <w:spacing w:line="240" w:lineRule="auto"/>
              <w:ind w:left="0" w:firstLine="0"/>
              <w:jc w:val="center"/>
              <w:textAlignment w:val="auto"/>
              <w:outlineLvl w:val="9"/>
              <w:rPr>
                <w:color w:val="000000" w:themeColor="text1"/>
              </w:rPr>
            </w:pPr>
            <w:r w:rsidRPr="00A4282B">
              <w:rPr>
                <w:color w:val="000000" w:themeColor="text1"/>
              </w:rPr>
              <w:t>comercial@elotech.com.br</w:t>
            </w:r>
          </w:p>
        </w:tc>
        <w:tc>
          <w:tcPr>
            <w:tcW w:w="4000" w:type="dxa"/>
            <w:noWrap/>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21" w:history="1">
              <w:r w:rsidR="00714192" w:rsidRPr="00A4282B">
                <w:rPr>
                  <w:rStyle w:val="Hyperlink"/>
                  <w:color w:val="000000" w:themeColor="text1"/>
                  <w:u w:val="none"/>
                </w:rPr>
                <w:t>camila.maia@metabit.com.br</w:t>
              </w:r>
            </w:hyperlink>
          </w:p>
        </w:tc>
      </w:tr>
      <w:tr w:rsidR="00A4282B" w:rsidRPr="00A4282B" w:rsidTr="00714192">
        <w:trPr>
          <w:trHeight w:val="300"/>
        </w:trPr>
        <w:tc>
          <w:tcPr>
            <w:tcW w:w="4050" w:type="dxa"/>
            <w:noWrap/>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22" w:history="1">
              <w:r w:rsidR="00714192" w:rsidRPr="00A4282B">
                <w:rPr>
                  <w:rStyle w:val="Hyperlink"/>
                  <w:color w:val="000000" w:themeColor="text1"/>
                  <w:u w:val="none"/>
                </w:rPr>
                <w:t>atendimento@memory.com.br</w:t>
              </w:r>
            </w:hyperlink>
          </w:p>
        </w:tc>
        <w:tc>
          <w:tcPr>
            <w:tcW w:w="4000" w:type="dxa"/>
            <w:noWrap/>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23" w:history="1">
              <w:r w:rsidR="00714192" w:rsidRPr="00A4282B">
                <w:rPr>
                  <w:rStyle w:val="Hyperlink"/>
                  <w:color w:val="000000" w:themeColor="text1"/>
                  <w:u w:val="none"/>
                </w:rPr>
                <w:t>contato@softgov.com.br</w:t>
              </w:r>
            </w:hyperlink>
          </w:p>
        </w:tc>
      </w:tr>
      <w:tr w:rsidR="00A4282B" w:rsidRPr="00A4282B" w:rsidTr="00714192">
        <w:trPr>
          <w:trHeight w:val="300"/>
        </w:trPr>
        <w:tc>
          <w:tcPr>
            <w:tcW w:w="4050" w:type="dxa"/>
            <w:noWrap/>
          </w:tcPr>
          <w:p w:rsidR="00714192" w:rsidRPr="00A4282B" w:rsidRDefault="00714192" w:rsidP="00714192">
            <w:pPr>
              <w:suppressAutoHyphens w:val="0"/>
              <w:spacing w:line="240" w:lineRule="auto"/>
              <w:ind w:left="0" w:firstLine="0"/>
              <w:jc w:val="center"/>
              <w:textAlignment w:val="auto"/>
              <w:outlineLvl w:val="9"/>
              <w:rPr>
                <w:color w:val="000000" w:themeColor="text1"/>
              </w:rPr>
            </w:pPr>
            <w:r w:rsidRPr="00A4282B">
              <w:rPr>
                <w:color w:val="000000" w:themeColor="text1"/>
              </w:rPr>
              <w:t>contato@grupomomentum.com.br</w:t>
            </w:r>
          </w:p>
        </w:tc>
        <w:tc>
          <w:tcPr>
            <w:tcW w:w="4000" w:type="dxa"/>
            <w:noWrap/>
          </w:tcPr>
          <w:p w:rsidR="00714192" w:rsidRPr="00A4282B" w:rsidRDefault="005B1CEF" w:rsidP="00714192">
            <w:pPr>
              <w:suppressAutoHyphens w:val="0"/>
              <w:spacing w:line="240" w:lineRule="auto"/>
              <w:ind w:left="0" w:firstLine="0"/>
              <w:jc w:val="center"/>
              <w:textAlignment w:val="auto"/>
              <w:outlineLvl w:val="9"/>
              <w:rPr>
                <w:color w:val="000000" w:themeColor="text1"/>
              </w:rPr>
            </w:pPr>
            <w:hyperlink r:id="rId24" w:history="1">
              <w:r w:rsidR="00506E57" w:rsidRPr="00A4282B">
                <w:rPr>
                  <w:rStyle w:val="Hyperlink"/>
                  <w:color w:val="000000" w:themeColor="text1"/>
                  <w:u w:val="none"/>
                </w:rPr>
                <w:t>contato@smarapd.com.br</w:t>
              </w:r>
            </w:hyperlink>
          </w:p>
        </w:tc>
      </w:tr>
    </w:tbl>
    <w:p w:rsidR="00DD1C0E" w:rsidRPr="00A4282B" w:rsidRDefault="005952F4">
      <w:pPr>
        <w:suppressAutoHyphens w:val="0"/>
        <w:spacing w:line="240" w:lineRule="auto"/>
        <w:ind w:left="0" w:firstLine="0"/>
        <w:jc w:val="both"/>
        <w:textAlignment w:val="auto"/>
        <w:outlineLvl w:val="9"/>
        <w:rPr>
          <w:rFonts w:eastAsia="Calibri"/>
          <w:color w:val="000000" w:themeColor="text1"/>
          <w:lang w:eastAsia="en-US"/>
        </w:rPr>
      </w:pPr>
      <w:r w:rsidRPr="00A4282B">
        <w:rPr>
          <w:color w:val="000000" w:themeColor="text1"/>
        </w:rPr>
        <w:fldChar w:fldCharType="end"/>
      </w:r>
      <w:r w:rsidRPr="00A4282B">
        <w:rPr>
          <w:rFonts w:eastAsia="Calibri"/>
          <w:color w:val="000000" w:themeColor="text1"/>
          <w:lang w:eastAsia="en-US"/>
        </w:rPr>
        <w:br w:type="textWrapping" w:clear="all"/>
      </w:r>
    </w:p>
    <w:p w:rsidR="00DD1C0E" w:rsidRDefault="00DD1C0E">
      <w:pPr>
        <w:suppressAutoHyphens w:val="0"/>
        <w:spacing w:line="240" w:lineRule="auto"/>
        <w:ind w:left="0" w:firstLine="0"/>
        <w:jc w:val="both"/>
        <w:textAlignment w:val="auto"/>
        <w:outlineLvl w:val="9"/>
        <w:rPr>
          <w:rFonts w:eastAsia="Calibri"/>
          <w:color w:val="000000" w:themeColor="text1"/>
          <w:lang w:eastAsia="en-US"/>
        </w:rPr>
      </w:pPr>
      <w:r w:rsidRPr="00A4282B">
        <w:rPr>
          <w:rFonts w:eastAsia="Calibri"/>
          <w:color w:val="000000" w:themeColor="text1"/>
          <w:lang w:eastAsia="en-US"/>
        </w:rPr>
        <w:lastRenderedPageBreak/>
        <w:t>Todos os orçamentos encontram-se em anexo.</w:t>
      </w:r>
      <w:r w:rsidR="009E02F2" w:rsidRPr="00A4282B">
        <w:rPr>
          <w:rFonts w:eastAsia="Calibri"/>
          <w:color w:val="000000" w:themeColor="text1"/>
          <w:lang w:eastAsia="en-US"/>
        </w:rPr>
        <w:t xml:space="preserve"> </w:t>
      </w:r>
    </w:p>
    <w:p w:rsidR="00DD65F0" w:rsidRPr="00A4282B" w:rsidRDefault="00DD65F0">
      <w:pPr>
        <w:suppressAutoHyphens w:val="0"/>
        <w:spacing w:line="240" w:lineRule="auto"/>
        <w:ind w:left="0" w:firstLine="0"/>
        <w:jc w:val="both"/>
        <w:textAlignment w:val="auto"/>
        <w:outlineLvl w:val="9"/>
        <w:rPr>
          <w:rFonts w:eastAsia="Calibri"/>
          <w:color w:val="000000" w:themeColor="text1"/>
          <w:lang w:eastAsia="en-US"/>
        </w:rPr>
      </w:pPr>
    </w:p>
    <w:p w:rsidR="00B6181E" w:rsidRPr="00A4282B" w:rsidRDefault="008314A7" w:rsidP="00866EC7">
      <w:pPr>
        <w:tabs>
          <w:tab w:val="left" w:pos="3780"/>
        </w:tabs>
        <w:spacing w:line="240" w:lineRule="auto"/>
        <w:ind w:left="0" w:firstLine="0"/>
        <w:jc w:val="both"/>
        <w:textAlignment w:val="auto"/>
        <w:outlineLvl w:val="9"/>
        <w:rPr>
          <w:rFonts w:eastAsia="Calibri"/>
          <w:b/>
          <w:color w:val="000000" w:themeColor="text1"/>
          <w:lang w:eastAsia="en-US"/>
        </w:rPr>
      </w:pPr>
      <w:r w:rsidRPr="00A4282B">
        <w:rPr>
          <w:rFonts w:eastAsia="Calibri"/>
          <w:b/>
          <w:color w:val="000000" w:themeColor="text1"/>
          <w:lang w:eastAsia="en-US"/>
        </w:rPr>
        <w:t>V - a pesquisa na base nacional de notas fiscais eletrônicas ou no aplicativo Notas Paraná:</w:t>
      </w:r>
    </w:p>
    <w:p w:rsidR="00B6181E" w:rsidRPr="00A4282B" w:rsidRDefault="008314A7" w:rsidP="00B56A25">
      <w:pPr>
        <w:spacing w:line="240" w:lineRule="auto"/>
        <w:ind w:left="0" w:firstLine="0"/>
        <w:jc w:val="both"/>
        <w:textAlignment w:val="auto"/>
        <w:outlineLvl w:val="9"/>
        <w:rPr>
          <w:color w:val="000000" w:themeColor="text1"/>
          <w:sz w:val="22"/>
        </w:rPr>
      </w:pPr>
      <w:r w:rsidRPr="00A4282B">
        <w:rPr>
          <w:color w:val="000000" w:themeColor="text1"/>
          <w:sz w:val="22"/>
        </w:rPr>
        <w:t>Foram realizadas as pesquisas no site (</w:t>
      </w:r>
      <w:hyperlink r:id="rId25" w:tgtFrame="_new">
        <w:r w:rsidRPr="00A4282B">
          <w:rPr>
            <w:color w:val="000000" w:themeColor="text1"/>
            <w:sz w:val="22"/>
            <w:u w:val="single"/>
          </w:rPr>
          <w:t>http://www.notaparana.pr.gov.br</w:t>
        </w:r>
      </w:hyperlink>
      <w:r w:rsidRPr="00A4282B">
        <w:rPr>
          <w:color w:val="000000" w:themeColor="text1"/>
          <w:sz w:val="22"/>
        </w:rPr>
        <w:t xml:space="preserve">), entretanto, não foi possível obter informações, conforme demonstrado nos documentos anexos. </w:t>
      </w:r>
    </w:p>
    <w:p w:rsidR="00F82438" w:rsidRPr="00A4282B" w:rsidRDefault="00F82438" w:rsidP="00B56A25">
      <w:pPr>
        <w:spacing w:line="240" w:lineRule="auto"/>
        <w:ind w:left="0" w:firstLine="0"/>
        <w:jc w:val="both"/>
        <w:textAlignment w:val="auto"/>
        <w:outlineLvl w:val="9"/>
        <w:rPr>
          <w:color w:val="000000" w:themeColor="text1"/>
        </w:rPr>
      </w:pPr>
    </w:p>
    <w:p w:rsidR="00F82438" w:rsidRPr="00A4282B" w:rsidRDefault="00F82438" w:rsidP="00B56A25">
      <w:pPr>
        <w:spacing w:line="240" w:lineRule="auto"/>
        <w:ind w:left="0" w:firstLine="0"/>
        <w:jc w:val="both"/>
        <w:textAlignment w:val="auto"/>
        <w:outlineLvl w:val="9"/>
        <w:rPr>
          <w:b/>
          <w:color w:val="000000" w:themeColor="text1"/>
        </w:rPr>
      </w:pPr>
      <w:r w:rsidRPr="00A4282B">
        <w:rPr>
          <w:b/>
          <w:color w:val="000000" w:themeColor="text1"/>
        </w:rPr>
        <w:t>VI - Os preços de tabelas oficiais:</w:t>
      </w:r>
    </w:p>
    <w:p w:rsidR="00F82438" w:rsidRPr="00A4282B" w:rsidRDefault="00F82438" w:rsidP="00B56A25">
      <w:pPr>
        <w:spacing w:line="240" w:lineRule="auto"/>
        <w:ind w:left="0" w:firstLine="0"/>
        <w:jc w:val="both"/>
        <w:textAlignment w:val="auto"/>
        <w:outlineLvl w:val="9"/>
        <w:rPr>
          <w:color w:val="000000" w:themeColor="text1"/>
          <w:sz w:val="22"/>
        </w:rPr>
      </w:pPr>
      <w:r w:rsidRPr="00A4282B">
        <w:rPr>
          <w:color w:val="000000" w:themeColor="text1"/>
          <w:sz w:val="22"/>
        </w:rPr>
        <w:t xml:space="preserve">Não foram encontradas tabelas de preços oficiais, </w:t>
      </w:r>
      <w:r w:rsidR="002C3A4D" w:rsidRPr="00A4282B">
        <w:rPr>
          <w:color w:val="000000" w:themeColor="text1"/>
          <w:sz w:val="22"/>
        </w:rPr>
        <w:t>tampouco</w:t>
      </w:r>
      <w:r w:rsidRPr="00A4282B">
        <w:rPr>
          <w:color w:val="000000" w:themeColor="text1"/>
          <w:sz w:val="22"/>
        </w:rPr>
        <w:t xml:space="preserve"> foram encontrados valores aproximados uma vez que as empresas </w:t>
      </w:r>
      <w:r w:rsidR="002C3A4D" w:rsidRPr="00A4282B">
        <w:rPr>
          <w:color w:val="000000" w:themeColor="text1"/>
          <w:sz w:val="22"/>
        </w:rPr>
        <w:t xml:space="preserve">não </w:t>
      </w:r>
      <w:r w:rsidRPr="00A4282B">
        <w:rPr>
          <w:color w:val="000000" w:themeColor="text1"/>
          <w:sz w:val="22"/>
        </w:rPr>
        <w:t>aplicam valores médios de mercado</w:t>
      </w:r>
      <w:r w:rsidR="002C3A4D" w:rsidRPr="00A4282B">
        <w:rPr>
          <w:color w:val="000000" w:themeColor="text1"/>
          <w:sz w:val="22"/>
        </w:rPr>
        <w:t xml:space="preserve"> como explicado no item III deste documento</w:t>
      </w:r>
      <w:r w:rsidRPr="00A4282B">
        <w:rPr>
          <w:color w:val="000000" w:themeColor="text1"/>
          <w:sz w:val="22"/>
        </w:rPr>
        <w:t>.</w:t>
      </w:r>
    </w:p>
    <w:p w:rsidR="00E82AA0" w:rsidRPr="00A4282B" w:rsidRDefault="00E82AA0" w:rsidP="00B56A25">
      <w:pPr>
        <w:spacing w:line="240" w:lineRule="auto"/>
        <w:ind w:left="0" w:firstLine="0"/>
        <w:jc w:val="both"/>
        <w:textAlignment w:val="auto"/>
        <w:outlineLvl w:val="9"/>
        <w:rPr>
          <w:color w:val="000000" w:themeColor="text1"/>
        </w:rPr>
      </w:pPr>
    </w:p>
    <w:p w:rsidR="00F1365F" w:rsidRDefault="00F82438" w:rsidP="00F1365F">
      <w:pPr>
        <w:pStyle w:val="Default"/>
        <w:jc w:val="both"/>
      </w:pPr>
      <w:r w:rsidRPr="00A4282B">
        <w:t>Conclusão:</w:t>
      </w:r>
      <w:r w:rsidR="00003542" w:rsidRPr="00A4282B">
        <w:t xml:space="preserve"> </w:t>
      </w:r>
      <w:r w:rsidR="00DB0D75" w:rsidRPr="00A4282B">
        <w:t>Após a conclusão da etapa de pesquisas, o valor de referência para a abertura do processo foi definido a partir da média dos dados coletados. Para o item I, foram considerados os valores disponibilizados pelo PNCP; para o item II, os dados provenientes de processos homologados; e para o item IV, os valores reais praticados no mercado, conforme os orçamentos fornecidos por empresas especializadas. Cabe ressaltar que somente no item IV foi possível realizar uma pesquisa completa de todos os parâmetros.</w:t>
      </w:r>
      <w:r w:rsidR="008866A1" w:rsidRPr="00A4282B">
        <w:t xml:space="preserve"> </w:t>
      </w:r>
    </w:p>
    <w:p w:rsidR="00F1365F" w:rsidRDefault="00F1365F" w:rsidP="00F1365F">
      <w:pPr>
        <w:pStyle w:val="Default"/>
        <w:jc w:val="both"/>
      </w:pPr>
    </w:p>
    <w:p w:rsidR="00F1365F" w:rsidRDefault="00F1365F" w:rsidP="00F1365F">
      <w:pPr>
        <w:pStyle w:val="Default"/>
        <w:jc w:val="both"/>
        <w:rPr>
          <w:position w:val="0"/>
        </w:rPr>
      </w:pPr>
      <w:r w:rsidRPr="00F1365F">
        <w:rPr>
          <w:position w:val="0"/>
        </w:rPr>
        <w:t xml:space="preserve">No caso do módulo “Conversão, Migração, Implantação, Treinamento e Suporte”, a formação do preço médio baseou-se exclusivamente nos orçamentos apresentados pelas empresas, </w:t>
      </w:r>
      <w:r>
        <w:rPr>
          <w:position w:val="0"/>
        </w:rPr>
        <w:t xml:space="preserve">descartando os demais, </w:t>
      </w:r>
      <w:r w:rsidRPr="00F1365F">
        <w:rPr>
          <w:position w:val="0"/>
        </w:rPr>
        <w:t>uma vez que as pesquisas realizadas no PNCP e em processos homologados revelaram discrepâncias significativas. Essas diferenças decorrem, principalmente, da variação na quantidade de módulos licitados, da complexidade associada ao volume de dados a serem migrados e do número de colaboradores envolvidos no processo. A migração de sistemas de gestão pública municipal é um procedimento tecnicamente desafiador, exigindo precisão absoluta para garantir a integridade de todos os dados e informações do município, sem perdas ou corrupção, sendo realizada em um prazo curto, considerando que a continuidade operacional do sistema é imprescindível para a administração pública.</w:t>
      </w:r>
    </w:p>
    <w:p w:rsidR="00F1365F" w:rsidRPr="00F1365F" w:rsidRDefault="00F1365F" w:rsidP="00F1365F">
      <w:pPr>
        <w:pStyle w:val="Default"/>
        <w:jc w:val="both"/>
        <w:rPr>
          <w:position w:val="0"/>
        </w:rPr>
      </w:pPr>
    </w:p>
    <w:p w:rsidR="007A4F8B" w:rsidRDefault="00F1365F" w:rsidP="00F1365F">
      <w:pPr>
        <w:pStyle w:val="Default"/>
        <w:jc w:val="both"/>
      </w:pPr>
      <w:r w:rsidRPr="00F1365F">
        <w:t>A análise comparativa dos preços, aliada à consideração das especificidades técnicas de cada módulo, especialmente no que tange à migração de sistemas, assegura que o valor de referência definido reflete com precisão os preços praticados no mercado. Essa abordagem garante a viabilidade técnica da contratação, preservando a qualidade e a segurança necessárias para a gestão pública municipal, com foco na manutenção da integridade dos dados e na continuidade dos serviços essenciais.</w:t>
      </w:r>
    </w:p>
    <w:p w:rsidR="00F1365F" w:rsidRPr="00A4282B" w:rsidRDefault="00F1365F" w:rsidP="00F77451">
      <w:pPr>
        <w:spacing w:line="240" w:lineRule="auto"/>
        <w:ind w:left="0" w:firstLine="0"/>
        <w:jc w:val="right"/>
        <w:textAlignment w:val="auto"/>
        <w:outlineLvl w:val="9"/>
        <w:rPr>
          <w:bCs/>
          <w:color w:val="000000" w:themeColor="text1"/>
          <w:lang w:eastAsia="ar-SA"/>
        </w:rPr>
      </w:pPr>
    </w:p>
    <w:p w:rsidR="00B6181E" w:rsidRPr="00A4282B" w:rsidRDefault="00701655" w:rsidP="00F77451">
      <w:pPr>
        <w:spacing w:line="240" w:lineRule="auto"/>
        <w:ind w:left="0" w:firstLine="0"/>
        <w:jc w:val="right"/>
        <w:textAlignment w:val="auto"/>
        <w:outlineLvl w:val="9"/>
        <w:rPr>
          <w:rFonts w:ascii="Arial" w:hAnsi="Arial" w:cs="Arial"/>
          <w:b/>
          <w:color w:val="000000" w:themeColor="text1"/>
          <w:sz w:val="20"/>
          <w:szCs w:val="20"/>
          <w:lang w:eastAsia="ar-SA"/>
        </w:rPr>
      </w:pPr>
      <w:r w:rsidRPr="00A4282B">
        <w:rPr>
          <w:bCs/>
          <w:color w:val="000000" w:themeColor="text1"/>
          <w:lang w:eastAsia="ar-SA"/>
        </w:rPr>
        <w:t xml:space="preserve">Bandeirantes, </w:t>
      </w:r>
      <w:r w:rsidR="00A4282B" w:rsidRPr="00A4282B">
        <w:rPr>
          <w:bCs/>
          <w:color w:val="000000" w:themeColor="text1"/>
          <w:lang w:eastAsia="ar-SA"/>
        </w:rPr>
        <w:t>21</w:t>
      </w:r>
      <w:r w:rsidR="008314A7" w:rsidRPr="00A4282B">
        <w:rPr>
          <w:bCs/>
          <w:color w:val="000000" w:themeColor="text1"/>
          <w:lang w:eastAsia="ar-SA"/>
        </w:rPr>
        <w:t xml:space="preserve"> de </w:t>
      </w:r>
      <w:r w:rsidR="00A4282B" w:rsidRPr="00A4282B">
        <w:rPr>
          <w:bCs/>
          <w:color w:val="000000" w:themeColor="text1"/>
          <w:lang w:eastAsia="ar-SA"/>
        </w:rPr>
        <w:t>agosto</w:t>
      </w:r>
      <w:r w:rsidR="00F77451" w:rsidRPr="00A4282B">
        <w:rPr>
          <w:bCs/>
          <w:color w:val="000000" w:themeColor="text1"/>
          <w:lang w:eastAsia="ar-SA"/>
        </w:rPr>
        <w:t xml:space="preserve"> de 2025</w:t>
      </w:r>
    </w:p>
    <w:p w:rsidR="00B6181E" w:rsidRPr="00A4282B" w:rsidRDefault="00B6181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B6181E" w:rsidRPr="00A4282B" w:rsidRDefault="00B6181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F011AE" w:rsidRPr="00A4282B" w:rsidRDefault="00F011A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7A4F8B" w:rsidRPr="00A4282B"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2558B9" w:rsidRPr="00A4282B" w:rsidRDefault="002558B9">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bookmarkStart w:id="1" w:name="_GoBack"/>
      <w:bookmarkEnd w:id="1"/>
    </w:p>
    <w:p w:rsidR="007A4F8B" w:rsidRPr="00A4282B"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B11318" w:rsidRPr="00A4282B" w:rsidRDefault="00404078" w:rsidP="00B11318">
      <w:pPr>
        <w:spacing w:after="60" w:line="240" w:lineRule="auto"/>
        <w:ind w:left="0" w:firstLine="0"/>
        <w:jc w:val="center"/>
        <w:textAlignment w:val="auto"/>
        <w:outlineLvl w:val="1"/>
        <w:rPr>
          <w:rFonts w:eastAsia="Calibri"/>
          <w:b/>
          <w:iCs/>
          <w:color w:val="000000" w:themeColor="text1"/>
          <w:lang w:eastAsia="en-US"/>
        </w:rPr>
      </w:pPr>
      <w:r w:rsidRPr="00A4282B">
        <w:rPr>
          <w:rFonts w:eastAsia="Calibri"/>
          <w:b/>
          <w:iCs/>
          <w:color w:val="000000" w:themeColor="text1"/>
          <w:lang w:eastAsia="en-US"/>
        </w:rPr>
        <w:t>HERCULES AUGUSTO GARCIA FIGUEIRA</w:t>
      </w:r>
    </w:p>
    <w:p w:rsidR="00B6181E" w:rsidRPr="00A4282B" w:rsidRDefault="00B11318" w:rsidP="00866EC7">
      <w:pPr>
        <w:spacing w:after="60" w:line="240" w:lineRule="auto"/>
        <w:ind w:left="0" w:firstLine="0"/>
        <w:jc w:val="center"/>
        <w:textAlignment w:val="auto"/>
        <w:outlineLvl w:val="1"/>
        <w:rPr>
          <w:rFonts w:eastAsia="Calibri"/>
          <w:iCs/>
          <w:color w:val="000000" w:themeColor="text1"/>
          <w:lang w:eastAsia="en-US"/>
        </w:rPr>
      </w:pPr>
      <w:r w:rsidRPr="00A4282B">
        <w:rPr>
          <w:rFonts w:eastAsia="Calibri"/>
          <w:iCs/>
          <w:color w:val="000000" w:themeColor="text1"/>
          <w:lang w:eastAsia="en-US"/>
        </w:rPr>
        <w:t>Chefe da Divisão de Orçamentos e Pesquisa de Preços</w:t>
      </w:r>
    </w:p>
    <w:p w:rsidR="00404078" w:rsidRPr="00A4282B" w:rsidRDefault="00404078" w:rsidP="00866EC7">
      <w:pPr>
        <w:spacing w:after="60" w:line="240" w:lineRule="auto"/>
        <w:ind w:left="0" w:firstLine="0"/>
        <w:jc w:val="center"/>
        <w:textAlignment w:val="auto"/>
        <w:outlineLvl w:val="1"/>
        <w:rPr>
          <w:rFonts w:eastAsia="Calibri"/>
          <w:iCs/>
          <w:color w:val="000000" w:themeColor="text1"/>
          <w:lang w:eastAsia="en-US"/>
        </w:rPr>
      </w:pPr>
      <w:r w:rsidRPr="00A4282B">
        <w:rPr>
          <w:rFonts w:eastAsia="Calibri"/>
          <w:iCs/>
          <w:color w:val="000000" w:themeColor="text1"/>
          <w:lang w:eastAsia="en-US"/>
        </w:rPr>
        <w:t>Portaria 15.186-2025</w:t>
      </w:r>
    </w:p>
    <w:p w:rsidR="00404078" w:rsidRPr="00A4282B" w:rsidRDefault="00404078" w:rsidP="00866EC7">
      <w:pPr>
        <w:spacing w:after="60" w:line="240" w:lineRule="auto"/>
        <w:ind w:left="0" w:firstLine="0"/>
        <w:jc w:val="center"/>
        <w:textAlignment w:val="auto"/>
        <w:outlineLvl w:val="1"/>
        <w:rPr>
          <w:rFonts w:eastAsia="Merriweather"/>
          <w:color w:val="000000" w:themeColor="text1"/>
        </w:rPr>
      </w:pPr>
    </w:p>
    <w:sectPr w:rsidR="00404078" w:rsidRPr="00A4282B">
      <w:headerReference w:type="even" r:id="rId26"/>
      <w:headerReference w:type="default" r:id="rId27"/>
      <w:footerReference w:type="even" r:id="rId28"/>
      <w:footerReference w:type="default" r:id="rId29"/>
      <w:headerReference w:type="first" r:id="rId30"/>
      <w:footerReference w:type="first" r:id="rId31"/>
      <w:pgSz w:w="11906" w:h="16838"/>
      <w:pgMar w:top="2410" w:right="1701" w:bottom="992" w:left="1134"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CEF" w:rsidRDefault="005B1CEF">
      <w:pPr>
        <w:spacing w:line="240" w:lineRule="auto"/>
      </w:pPr>
      <w:r>
        <w:separator/>
      </w:r>
    </w:p>
  </w:endnote>
  <w:endnote w:type="continuationSeparator" w:id="0">
    <w:p w:rsidR="005B1CEF" w:rsidRDefault="005B1C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erriweather">
    <w:charset w:val="00"/>
    <w:family w:val="roman"/>
    <w:pitch w:val="default"/>
  </w:font>
  <w:font w:name="Algerian">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pStyle w:val="Rodap"/>
      <w:ind w:left="0" w:hanging="2"/>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CEF" w:rsidRDefault="005B1CEF">
      <w:pPr>
        <w:spacing w:line="240" w:lineRule="auto"/>
      </w:pPr>
      <w:r>
        <w:separator/>
      </w:r>
    </w:p>
  </w:footnote>
  <w:footnote w:type="continuationSeparator" w:id="0">
    <w:p w:rsidR="005B1CEF" w:rsidRDefault="005B1C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6028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1" name="image1.png Cop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Copia 2"/>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9264" behindDoc="1" locked="0" layoutInCell="1" allowOverlap="1">
              <wp:simplePos x="0" y="0"/>
              <wp:positionH relativeFrom="column">
                <wp:posOffset>0</wp:posOffset>
              </wp:positionH>
              <wp:positionV relativeFrom="paragraph">
                <wp:posOffset>635</wp:posOffset>
              </wp:positionV>
              <wp:extent cx="5145405" cy="1078230"/>
              <wp:effectExtent l="0" t="0" r="0" b="8255"/>
              <wp:wrapNone/>
              <wp:docPr id="2" name="Retângulo 2"/>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2" o:spid="_x0000_s1026" style="position:absolute;margin-left:0;margin-top:.05pt;width:405.15pt;height:84.9pt;z-index:-251657216;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516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7216"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4"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3" o:spid="_x0000_s1027" style="position:absolute;margin-left:57.7pt;margin-top:-8.05pt;width:405.15pt;height:84.9pt;z-index:-251659264;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8240"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6"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_x0000_s1028" style="position:absolute;margin-left:57.7pt;margin-top:-8.05pt;width:405.15pt;height:84.9pt;z-index:-251658240;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71F"/>
    <w:multiLevelType w:val="multilevel"/>
    <w:tmpl w:val="C8DE9D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E233F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1C0201"/>
    <w:multiLevelType w:val="multilevel"/>
    <w:tmpl w:val="18AAA304"/>
    <w:lvl w:ilvl="0">
      <w:start w:val="5"/>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97F1671"/>
    <w:multiLevelType w:val="multilevel"/>
    <w:tmpl w:val="515238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6D0C3D98"/>
    <w:multiLevelType w:val="multilevel"/>
    <w:tmpl w:val="7C90273A"/>
    <w:lvl w:ilvl="0">
      <w:start w:val="1"/>
      <w:numFmt w:val="bullet"/>
      <w:lvlText w:val=""/>
      <w:lvlJc w:val="left"/>
      <w:pPr>
        <w:tabs>
          <w:tab w:val="num" w:pos="0"/>
        </w:tabs>
        <w:ind w:left="3839" w:hanging="360"/>
      </w:pPr>
      <w:rPr>
        <w:rFonts w:ascii="Symbol" w:hAnsi="Symbol" w:cs="Symbol" w:hint="default"/>
      </w:rPr>
    </w:lvl>
    <w:lvl w:ilvl="1">
      <w:start w:val="1"/>
      <w:numFmt w:val="bullet"/>
      <w:lvlText w:val="o"/>
      <w:lvlJc w:val="left"/>
      <w:pPr>
        <w:tabs>
          <w:tab w:val="num" w:pos="0"/>
        </w:tabs>
        <w:ind w:left="4559" w:hanging="360"/>
      </w:pPr>
      <w:rPr>
        <w:rFonts w:ascii="Courier New" w:hAnsi="Courier New" w:cs="Courier New" w:hint="default"/>
      </w:rPr>
    </w:lvl>
    <w:lvl w:ilvl="2">
      <w:start w:val="1"/>
      <w:numFmt w:val="bullet"/>
      <w:lvlText w:val=""/>
      <w:lvlJc w:val="left"/>
      <w:pPr>
        <w:tabs>
          <w:tab w:val="num" w:pos="0"/>
        </w:tabs>
        <w:ind w:left="5279" w:hanging="360"/>
      </w:pPr>
      <w:rPr>
        <w:rFonts w:ascii="Wingdings" w:hAnsi="Wingdings" w:cs="Wingdings" w:hint="default"/>
      </w:rPr>
    </w:lvl>
    <w:lvl w:ilvl="3">
      <w:start w:val="1"/>
      <w:numFmt w:val="bullet"/>
      <w:lvlText w:val=""/>
      <w:lvlJc w:val="left"/>
      <w:pPr>
        <w:tabs>
          <w:tab w:val="num" w:pos="0"/>
        </w:tabs>
        <w:ind w:left="5999" w:hanging="360"/>
      </w:pPr>
      <w:rPr>
        <w:rFonts w:ascii="Symbol" w:hAnsi="Symbol" w:cs="Symbol" w:hint="default"/>
      </w:rPr>
    </w:lvl>
    <w:lvl w:ilvl="4">
      <w:start w:val="1"/>
      <w:numFmt w:val="bullet"/>
      <w:lvlText w:val="o"/>
      <w:lvlJc w:val="left"/>
      <w:pPr>
        <w:tabs>
          <w:tab w:val="num" w:pos="0"/>
        </w:tabs>
        <w:ind w:left="6719" w:hanging="360"/>
      </w:pPr>
      <w:rPr>
        <w:rFonts w:ascii="Courier New" w:hAnsi="Courier New" w:cs="Courier New" w:hint="default"/>
      </w:rPr>
    </w:lvl>
    <w:lvl w:ilvl="5">
      <w:start w:val="1"/>
      <w:numFmt w:val="bullet"/>
      <w:lvlText w:val=""/>
      <w:lvlJc w:val="left"/>
      <w:pPr>
        <w:tabs>
          <w:tab w:val="num" w:pos="0"/>
        </w:tabs>
        <w:ind w:left="7439" w:hanging="360"/>
      </w:pPr>
      <w:rPr>
        <w:rFonts w:ascii="Wingdings" w:hAnsi="Wingdings" w:cs="Wingdings" w:hint="default"/>
      </w:rPr>
    </w:lvl>
    <w:lvl w:ilvl="6">
      <w:start w:val="1"/>
      <w:numFmt w:val="bullet"/>
      <w:lvlText w:val=""/>
      <w:lvlJc w:val="left"/>
      <w:pPr>
        <w:tabs>
          <w:tab w:val="num" w:pos="0"/>
        </w:tabs>
        <w:ind w:left="8159" w:hanging="360"/>
      </w:pPr>
      <w:rPr>
        <w:rFonts w:ascii="Symbol" w:hAnsi="Symbol" w:cs="Symbol" w:hint="default"/>
      </w:rPr>
    </w:lvl>
    <w:lvl w:ilvl="7">
      <w:start w:val="1"/>
      <w:numFmt w:val="bullet"/>
      <w:lvlText w:val="o"/>
      <w:lvlJc w:val="left"/>
      <w:pPr>
        <w:tabs>
          <w:tab w:val="num" w:pos="0"/>
        </w:tabs>
        <w:ind w:left="8879" w:hanging="360"/>
      </w:pPr>
      <w:rPr>
        <w:rFonts w:ascii="Courier New" w:hAnsi="Courier New" w:cs="Courier New" w:hint="default"/>
      </w:rPr>
    </w:lvl>
    <w:lvl w:ilvl="8">
      <w:start w:val="1"/>
      <w:numFmt w:val="bullet"/>
      <w:lvlText w:val=""/>
      <w:lvlJc w:val="left"/>
      <w:pPr>
        <w:tabs>
          <w:tab w:val="num" w:pos="0"/>
        </w:tabs>
        <w:ind w:left="9599" w:hanging="360"/>
      </w:pPr>
      <w:rPr>
        <w:rFonts w:ascii="Wingdings" w:hAnsi="Wingdings" w:cs="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81E"/>
    <w:rsid w:val="00003542"/>
    <w:rsid w:val="00012478"/>
    <w:rsid w:val="00015D95"/>
    <w:rsid w:val="00025980"/>
    <w:rsid w:val="00031DFC"/>
    <w:rsid w:val="00037301"/>
    <w:rsid w:val="00045E3D"/>
    <w:rsid w:val="000505C7"/>
    <w:rsid w:val="0007072F"/>
    <w:rsid w:val="000902BA"/>
    <w:rsid w:val="000A30C1"/>
    <w:rsid w:val="000A41AD"/>
    <w:rsid w:val="000B1D84"/>
    <w:rsid w:val="000B77B2"/>
    <w:rsid w:val="000C49C6"/>
    <w:rsid w:val="000C6EE5"/>
    <w:rsid w:val="000D6303"/>
    <w:rsid w:val="000F3FDF"/>
    <w:rsid w:val="000F7FD9"/>
    <w:rsid w:val="00191C58"/>
    <w:rsid w:val="001A73BA"/>
    <w:rsid w:val="001F3DED"/>
    <w:rsid w:val="001F4284"/>
    <w:rsid w:val="00204F08"/>
    <w:rsid w:val="0023339A"/>
    <w:rsid w:val="00240D63"/>
    <w:rsid w:val="00255060"/>
    <w:rsid w:val="002558B9"/>
    <w:rsid w:val="00277375"/>
    <w:rsid w:val="00295345"/>
    <w:rsid w:val="00297749"/>
    <w:rsid w:val="002C3A4D"/>
    <w:rsid w:val="002C6795"/>
    <w:rsid w:val="002D0444"/>
    <w:rsid w:val="002D6543"/>
    <w:rsid w:val="002E0C46"/>
    <w:rsid w:val="002F2947"/>
    <w:rsid w:val="002F6558"/>
    <w:rsid w:val="002F66B8"/>
    <w:rsid w:val="00303FCA"/>
    <w:rsid w:val="003050A1"/>
    <w:rsid w:val="003253DF"/>
    <w:rsid w:val="00327AC9"/>
    <w:rsid w:val="00330603"/>
    <w:rsid w:val="00330A67"/>
    <w:rsid w:val="0035429E"/>
    <w:rsid w:val="00356926"/>
    <w:rsid w:val="00360B32"/>
    <w:rsid w:val="0036692F"/>
    <w:rsid w:val="00367E4C"/>
    <w:rsid w:val="00370D47"/>
    <w:rsid w:val="003820E1"/>
    <w:rsid w:val="003876B2"/>
    <w:rsid w:val="00392012"/>
    <w:rsid w:val="003B6B57"/>
    <w:rsid w:val="003C47E0"/>
    <w:rsid w:val="003C5036"/>
    <w:rsid w:val="003C56C1"/>
    <w:rsid w:val="003D2920"/>
    <w:rsid w:val="003E7674"/>
    <w:rsid w:val="00402D36"/>
    <w:rsid w:val="00404078"/>
    <w:rsid w:val="00412BDB"/>
    <w:rsid w:val="00421F89"/>
    <w:rsid w:val="0042207D"/>
    <w:rsid w:val="00432072"/>
    <w:rsid w:val="004353DF"/>
    <w:rsid w:val="00445184"/>
    <w:rsid w:val="0046472A"/>
    <w:rsid w:val="004A10BC"/>
    <w:rsid w:val="004A1C6B"/>
    <w:rsid w:val="004E1FD1"/>
    <w:rsid w:val="00506E57"/>
    <w:rsid w:val="00541FD1"/>
    <w:rsid w:val="0058718E"/>
    <w:rsid w:val="005952F4"/>
    <w:rsid w:val="005A18F5"/>
    <w:rsid w:val="005A7FBE"/>
    <w:rsid w:val="005B1CEF"/>
    <w:rsid w:val="005C3299"/>
    <w:rsid w:val="005F266F"/>
    <w:rsid w:val="005F7507"/>
    <w:rsid w:val="00610AF4"/>
    <w:rsid w:val="00622B7F"/>
    <w:rsid w:val="0062601B"/>
    <w:rsid w:val="0063135D"/>
    <w:rsid w:val="00646FC8"/>
    <w:rsid w:val="0066028A"/>
    <w:rsid w:val="0066516D"/>
    <w:rsid w:val="006701F2"/>
    <w:rsid w:val="00684840"/>
    <w:rsid w:val="00697A0F"/>
    <w:rsid w:val="006D67AF"/>
    <w:rsid w:val="006E10C3"/>
    <w:rsid w:val="006E1682"/>
    <w:rsid w:val="006E6E76"/>
    <w:rsid w:val="00701655"/>
    <w:rsid w:val="00713075"/>
    <w:rsid w:val="00714192"/>
    <w:rsid w:val="00717EA1"/>
    <w:rsid w:val="007273D4"/>
    <w:rsid w:val="00727C08"/>
    <w:rsid w:val="00744EE7"/>
    <w:rsid w:val="00756604"/>
    <w:rsid w:val="00766915"/>
    <w:rsid w:val="007A4AC1"/>
    <w:rsid w:val="007A4F8B"/>
    <w:rsid w:val="007B090D"/>
    <w:rsid w:val="007B13D7"/>
    <w:rsid w:val="007D1159"/>
    <w:rsid w:val="007F5E37"/>
    <w:rsid w:val="00811CA4"/>
    <w:rsid w:val="00811FFD"/>
    <w:rsid w:val="00823A2F"/>
    <w:rsid w:val="008314A7"/>
    <w:rsid w:val="00844871"/>
    <w:rsid w:val="00866EC7"/>
    <w:rsid w:val="00872824"/>
    <w:rsid w:val="008866A1"/>
    <w:rsid w:val="0089667E"/>
    <w:rsid w:val="008A372C"/>
    <w:rsid w:val="008B013E"/>
    <w:rsid w:val="008B1A29"/>
    <w:rsid w:val="008C2835"/>
    <w:rsid w:val="008E08B6"/>
    <w:rsid w:val="0090796F"/>
    <w:rsid w:val="009406D9"/>
    <w:rsid w:val="00943B48"/>
    <w:rsid w:val="00962971"/>
    <w:rsid w:val="009713FB"/>
    <w:rsid w:val="00997567"/>
    <w:rsid w:val="009B4013"/>
    <w:rsid w:val="009D645A"/>
    <w:rsid w:val="009E02F2"/>
    <w:rsid w:val="009E1B22"/>
    <w:rsid w:val="009F01DA"/>
    <w:rsid w:val="009F4EAF"/>
    <w:rsid w:val="009F5480"/>
    <w:rsid w:val="00A038E9"/>
    <w:rsid w:val="00A34B82"/>
    <w:rsid w:val="00A4282B"/>
    <w:rsid w:val="00A6624A"/>
    <w:rsid w:val="00A73A00"/>
    <w:rsid w:val="00A81155"/>
    <w:rsid w:val="00A87B1A"/>
    <w:rsid w:val="00AA6B86"/>
    <w:rsid w:val="00AC2D76"/>
    <w:rsid w:val="00AD42F4"/>
    <w:rsid w:val="00AE14A0"/>
    <w:rsid w:val="00AE230D"/>
    <w:rsid w:val="00AE4B8A"/>
    <w:rsid w:val="00AF0EE4"/>
    <w:rsid w:val="00AF566D"/>
    <w:rsid w:val="00B11318"/>
    <w:rsid w:val="00B22986"/>
    <w:rsid w:val="00B452BA"/>
    <w:rsid w:val="00B56A25"/>
    <w:rsid w:val="00B6181E"/>
    <w:rsid w:val="00B8471E"/>
    <w:rsid w:val="00BB2D87"/>
    <w:rsid w:val="00BB3648"/>
    <w:rsid w:val="00BB487F"/>
    <w:rsid w:val="00BC1120"/>
    <w:rsid w:val="00C04C05"/>
    <w:rsid w:val="00C1354F"/>
    <w:rsid w:val="00C36E4B"/>
    <w:rsid w:val="00C93378"/>
    <w:rsid w:val="00C95B17"/>
    <w:rsid w:val="00CA620D"/>
    <w:rsid w:val="00CC73D5"/>
    <w:rsid w:val="00CD7B6E"/>
    <w:rsid w:val="00CE0724"/>
    <w:rsid w:val="00CF4ACB"/>
    <w:rsid w:val="00D058C8"/>
    <w:rsid w:val="00D33232"/>
    <w:rsid w:val="00D37233"/>
    <w:rsid w:val="00D42E55"/>
    <w:rsid w:val="00D4761D"/>
    <w:rsid w:val="00D504A5"/>
    <w:rsid w:val="00D73FC9"/>
    <w:rsid w:val="00D8779D"/>
    <w:rsid w:val="00D94588"/>
    <w:rsid w:val="00DB0D75"/>
    <w:rsid w:val="00DB21A5"/>
    <w:rsid w:val="00DC0FBC"/>
    <w:rsid w:val="00DC59FA"/>
    <w:rsid w:val="00DD1C0E"/>
    <w:rsid w:val="00DD65F0"/>
    <w:rsid w:val="00DE2E3F"/>
    <w:rsid w:val="00E06AED"/>
    <w:rsid w:val="00E12889"/>
    <w:rsid w:val="00E4330C"/>
    <w:rsid w:val="00E50979"/>
    <w:rsid w:val="00E62F50"/>
    <w:rsid w:val="00E662C6"/>
    <w:rsid w:val="00E70C86"/>
    <w:rsid w:val="00E7612B"/>
    <w:rsid w:val="00E82120"/>
    <w:rsid w:val="00E82AA0"/>
    <w:rsid w:val="00E92527"/>
    <w:rsid w:val="00EC03F0"/>
    <w:rsid w:val="00EC20C8"/>
    <w:rsid w:val="00ED0CC2"/>
    <w:rsid w:val="00ED2590"/>
    <w:rsid w:val="00ED65E6"/>
    <w:rsid w:val="00EF483D"/>
    <w:rsid w:val="00F011AE"/>
    <w:rsid w:val="00F02751"/>
    <w:rsid w:val="00F1365F"/>
    <w:rsid w:val="00F14463"/>
    <w:rsid w:val="00F14EE3"/>
    <w:rsid w:val="00F1581D"/>
    <w:rsid w:val="00F203AC"/>
    <w:rsid w:val="00F338E6"/>
    <w:rsid w:val="00F405BA"/>
    <w:rsid w:val="00F65821"/>
    <w:rsid w:val="00F65EFC"/>
    <w:rsid w:val="00F7360D"/>
    <w:rsid w:val="00F77451"/>
    <w:rsid w:val="00F82438"/>
    <w:rsid w:val="00F972F0"/>
    <w:rsid w:val="00FB6244"/>
    <w:rsid w:val="00FB761B"/>
    <w:rsid w:val="00FC0E24"/>
    <w:rsid w:val="00FC2A1B"/>
    <w:rsid w:val="00FC41ED"/>
  </w:rsids>
  <m:mathPr>
    <m:mathFont m:val="Cambria Math"/>
    <m:brkBin m:val="before"/>
    <m:brkBinSub m:val="--"/>
    <m:smallFrac m:val="0"/>
    <m:dispDef/>
    <m:lMargin m:val="0"/>
    <m:rMargin m:val="0"/>
    <m:defJc m:val="centerGroup"/>
    <m:wrapIndent m:val="1440"/>
    <m:intLim m:val="subSup"/>
    <m:naryLim m:val="undOvr"/>
  </m:mathPr>
  <w:themeFontLang w:val="pt-BR"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08C01-E8F7-4F20-83F2-D435CF8D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rFonts w:eastAsia="Times New Roman"/>
      <w:position w:val="-1"/>
      <w:sz w:val="24"/>
      <w:szCs w:val="24"/>
      <w:lang w:eastAsia="pt-BR" w:bidi="ar-SA"/>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racteresdenotaderodap">
    <w:name w:val="Caracteres de nota de rodapé"/>
    <w:basedOn w:val="Fontepargpadro"/>
    <w:uiPriority w:val="99"/>
    <w:semiHidden/>
    <w:unhideWhenUsed/>
    <w:qFormat/>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qFormat/>
    <w:rPr>
      <w:color w:val="0000FF" w:themeColor="hyperlink"/>
      <w:u w:val="single"/>
    </w:rPr>
  </w:style>
  <w:style w:type="character" w:customStyle="1" w:styleId="CabealhoChar">
    <w:name w:val="Cabeçalho Char"/>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character" w:customStyle="1" w:styleId="TextodenotaderodapChar">
    <w:name w:val="Texto de nota de rodapé Char"/>
    <w:basedOn w:val="Fontepargpadro"/>
    <w:link w:val="Textodenotaderodap"/>
    <w:uiPriority w:val="99"/>
    <w:semiHidden/>
    <w:qFormat/>
    <w:rPr>
      <w:sz w:val="20"/>
      <w:szCs w:val="20"/>
      <w:vertAlign w:val="subscript"/>
    </w:rPr>
  </w:style>
  <w:style w:type="character" w:customStyle="1" w:styleId="CorpodetextoChar">
    <w:name w:val="Corpo de texto Char"/>
    <w:basedOn w:val="Fontepargpadro"/>
    <w:link w:val="Corpodetexto"/>
    <w:uiPriority w:val="99"/>
    <w:semiHidden/>
    <w:qFormat/>
    <w:rPr>
      <w:vertAlign w:val="subscript"/>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CabealhoChar1">
    <w:name w:val="Cabeçalho Char1"/>
    <w:link w:val="Cabealho"/>
    <w:qFormat/>
  </w:style>
  <w:style w:type="character" w:customStyle="1" w:styleId="NormalWebChar">
    <w:name w:val="Normal (Web) Char"/>
    <w:link w:val="NormalWeb"/>
    <w:uiPriority w:val="99"/>
    <w:qFormat/>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semiHidden/>
    <w:unhideWhenUsed/>
    <w:qFormat/>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2">
    <w:name w:val="Body Text Indent 2"/>
    <w:basedOn w:val="Normal"/>
    <w:qFormat/>
    <w:pPr>
      <w:ind w:left="1080" w:firstLine="2889"/>
      <w:jc w:val="both"/>
    </w:pPr>
    <w:rPr>
      <w:bCs/>
      <w:sz w:val="25"/>
      <w:szCs w:val="28"/>
    </w:rPr>
  </w:style>
  <w:style w:type="paragraph" w:styleId="NormalWeb">
    <w:name w:val="Normal (Web)"/>
    <w:basedOn w:val="Normal"/>
    <w:link w:val="NormalWebChar"/>
    <w:uiPriority w:val="99"/>
    <w:unhideWhenUsed/>
    <w:qFormat/>
    <w:pPr>
      <w:suppressAutoHyphens w:val="0"/>
      <w:spacing w:beforeAutospacing="1" w:afterAutospacing="1" w:line="240" w:lineRule="auto"/>
      <w:ind w:left="0" w:firstLine="0"/>
      <w:textAlignment w:val="auto"/>
      <w:outlineLvl w:val="9"/>
    </w:pPr>
  </w:style>
  <w:style w:type="paragraph" w:customStyle="1" w:styleId="CabealhoeRodap">
    <w:name w:val="Cabeçalho e Rodapé"/>
    <w:basedOn w:val="Normal"/>
    <w:qFormat/>
  </w:style>
  <w:style w:type="paragraph" w:styleId="Cabealho">
    <w:name w:val="header"/>
    <w:basedOn w:val="Normal"/>
    <w:link w:val="CabealhoChar1"/>
    <w:qFormat/>
    <w:pPr>
      <w:tabs>
        <w:tab w:val="center" w:pos="4252"/>
        <w:tab w:val="right" w:pos="8504"/>
      </w:tabs>
    </w:pPr>
  </w:style>
  <w:style w:type="paragraph" w:styleId="Rodap">
    <w:name w:val="footer"/>
    <w:basedOn w:val="Normal"/>
    <w:qFormat/>
    <w:pPr>
      <w:tabs>
        <w:tab w:val="center" w:pos="4252"/>
        <w:tab w:val="right" w:pos="8504"/>
      </w:tabs>
    </w:p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pPr>
      <w:spacing w:line="240" w:lineRule="auto"/>
    </w:pPr>
    <w:rPr>
      <w:sz w:val="20"/>
      <w:szCs w:val="20"/>
    </w:rPr>
  </w:style>
  <w:style w:type="paragraph" w:styleId="Recuodecorpodetexto">
    <w:name w:val="Body Text Indent"/>
    <w:basedOn w:val="Normal"/>
    <w:qFormat/>
    <w:pPr>
      <w:ind w:left="851" w:firstLine="3118"/>
      <w:jc w:val="both"/>
    </w:pPr>
    <w:rPr>
      <w:sz w:val="28"/>
      <w:szCs w:val="20"/>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sz w:val="24"/>
      <w:szCs w:val="24"/>
      <w:lang w:eastAsia="en-US" w:bidi="ar-SA"/>
    </w:rPr>
  </w:style>
  <w:style w:type="paragraph" w:styleId="PargrafodaLista">
    <w:name w:val="List Paragraph"/>
    <w:basedOn w:val="Normal"/>
    <w:uiPriority w:val="34"/>
    <w:qFormat/>
    <w:pPr>
      <w:ind w:left="720"/>
      <w:contextualSpacing/>
    </w:pPr>
  </w:style>
  <w:style w:type="paragraph" w:customStyle="1" w:styleId="TableParagraph">
    <w:name w:val="Table Paragraph"/>
    <w:basedOn w:val="Normal"/>
    <w:uiPriority w:val="1"/>
    <w:qFormat/>
    <w:pPr>
      <w:widowControl w:val="0"/>
      <w:suppressAutoHyphens w:val="0"/>
      <w:spacing w:line="240" w:lineRule="auto"/>
      <w:ind w:left="0" w:firstLine="0"/>
      <w:textAlignment w:val="auto"/>
      <w:outlineLvl w:val="9"/>
    </w:pPr>
    <w:rPr>
      <w:sz w:val="22"/>
      <w:szCs w:val="22"/>
      <w:lang w:val="pt-PT" w:eastAsia="en-US"/>
    </w:rPr>
  </w:style>
  <w:style w:type="paragraph" w:customStyle="1" w:styleId="Standard">
    <w:name w:val="Standard"/>
    <w:qFormat/>
    <w:pPr>
      <w:spacing w:line="1" w:lineRule="atLeast"/>
      <w:ind w:left="-1" w:hanging="1"/>
      <w:textAlignment w:val="top"/>
      <w:outlineLvl w:val="0"/>
    </w:pPr>
    <w:rPr>
      <w:rFonts w:eastAsia="Times New Roman"/>
      <w:sz w:val="24"/>
      <w:szCs w:val="24"/>
      <w:lang w:eastAsia="pt-BR" w:bidi="ar-SA"/>
    </w:rPr>
  </w:style>
  <w:style w:type="paragraph" w:customStyle="1" w:styleId="Contedodoquadro">
    <w:name w:val="Conteúdo do quadro"/>
    <w:basedOn w:val="Normal"/>
    <w:qFormat/>
  </w:style>
  <w:style w:type="table" w:styleId="Tabelacomgrade">
    <w:name w:val="Table Grid"/>
    <w:basedOn w:val="Tabela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qFormat/>
    <w:tblPr>
      <w:tblCellMar>
        <w:top w:w="0" w:type="dxa"/>
        <w:left w:w="0" w:type="dxa"/>
        <w:bottom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3">
    <w:name w:val="Table Normal3"/>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4">
    <w:name w:val="Table Normal4"/>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5">
    <w:name w:val="Table Normal5"/>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Forte">
    <w:name w:val="Strong"/>
    <w:basedOn w:val="Fontepargpadro"/>
    <w:uiPriority w:val="22"/>
    <w:qFormat/>
    <w:rsid w:val="00330603"/>
    <w:rPr>
      <w:b/>
      <w:bCs/>
    </w:rPr>
  </w:style>
  <w:style w:type="character" w:customStyle="1" w:styleId="adr">
    <w:name w:val="adr"/>
    <w:basedOn w:val="Fontepargpadro"/>
    <w:rsid w:val="00C9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75691">
      <w:bodyDiv w:val="1"/>
      <w:marLeft w:val="0"/>
      <w:marRight w:val="0"/>
      <w:marTop w:val="0"/>
      <w:marBottom w:val="0"/>
      <w:divBdr>
        <w:top w:val="none" w:sz="0" w:space="0" w:color="auto"/>
        <w:left w:val="none" w:sz="0" w:space="0" w:color="auto"/>
        <w:bottom w:val="none" w:sz="0" w:space="0" w:color="auto"/>
        <w:right w:val="none" w:sz="0" w:space="0" w:color="auto"/>
      </w:divBdr>
    </w:div>
    <w:div w:id="1296640679">
      <w:bodyDiv w:val="1"/>
      <w:marLeft w:val="0"/>
      <w:marRight w:val="0"/>
      <w:marTop w:val="0"/>
      <w:marBottom w:val="0"/>
      <w:divBdr>
        <w:top w:val="none" w:sz="0" w:space="0" w:color="auto"/>
        <w:left w:val="none" w:sz="0" w:space="0" w:color="auto"/>
        <w:bottom w:val="none" w:sz="0" w:space="0" w:color="auto"/>
        <w:right w:val="none" w:sz="0" w:space="0" w:color="auto"/>
      </w:divBdr>
    </w:div>
    <w:div w:id="1986398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comercial@elotech.com.br" TargetMode="External"/><Relationship Id="rId18" Type="http://schemas.openxmlformats.org/officeDocument/2006/relationships/hyperlink" Target="mailto:contato@elotech.com.br"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camila.maia@metabit.com.br" TargetMode="External"/><Relationship Id="rId7" Type="http://schemas.openxmlformats.org/officeDocument/2006/relationships/webSettings" Target="webSettings.xml"/><Relationship Id="rId12" Type="http://schemas.openxmlformats.org/officeDocument/2006/relationships/hyperlink" Target="mailto:comercial@sysmar.com.br" TargetMode="External"/><Relationship Id="rId17" Type="http://schemas.openxmlformats.org/officeDocument/2006/relationships/hyperlink" Target="mailto:contato@gemmap.com.br" TargetMode="External"/><Relationship Id="rId25" Type="http://schemas.openxmlformats.org/officeDocument/2006/relationships/hyperlink" Target="http://www.notaparana.pr.gov.b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ev.vendas@softplan.com.br" TargetMode="External"/><Relationship Id="rId20" Type="http://schemas.openxmlformats.org/officeDocument/2006/relationships/hyperlink" Target="mailto:contato@metabit.com.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pncp/pt-br" TargetMode="External"/><Relationship Id="rId24" Type="http://schemas.openxmlformats.org/officeDocument/2006/relationships/hyperlink" Target="mailto:contato@smarapd.com.br"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comercial@golive.software" TargetMode="External"/><Relationship Id="rId23" Type="http://schemas.openxmlformats.org/officeDocument/2006/relationships/hyperlink" Target="mailto:contato@softgov.com.br" TargetMode="External"/><Relationship Id="rId28" Type="http://schemas.openxmlformats.org/officeDocument/2006/relationships/footer" Target="footer1.xml"/><Relationship Id="rId10" Type="http://schemas.openxmlformats.org/officeDocument/2006/relationships/hyperlink" Target="https://paineldeprecos.planejamento.gov.br/" TargetMode="External"/><Relationship Id="rId19" Type="http://schemas.openxmlformats.org/officeDocument/2006/relationships/hyperlink" Target="mailto:delta@deltainf.com.br" TargetMode="Externa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a.silva@senior.com.br" TargetMode="External"/><Relationship Id="rId22" Type="http://schemas.openxmlformats.org/officeDocument/2006/relationships/hyperlink" Target="mailto:atendimento@memory.com.br"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C6070851-3C14-4179-BFBA-E1A239102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4</Pages>
  <Words>2101</Words>
  <Characters>11351</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208</cp:revision>
  <cp:lastPrinted>2025-08-20T17:41:00Z</cp:lastPrinted>
  <dcterms:created xsi:type="dcterms:W3CDTF">2025-02-10T09:52:00Z</dcterms:created>
  <dcterms:modified xsi:type="dcterms:W3CDTF">2025-08-20T17:46:00Z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02EB394237CB46E0A9EBFE38C250FDE4_13</vt:lpwstr>
  </property>
  <property fmtid="{D5CDD505-2E9C-101B-9397-08002B2CF9AE}" pid="3" name="KSOProductBuildVer">
    <vt:lpwstr>1046-12.2.0.19805</vt:lpwstr>
  </property>
</Properties>
</file>